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4"/>
      <w:bookmarkStart w:id="2" w:name="OLE_LINK33"/>
      <w:bookmarkStart w:id="3" w:name="OLE_LINK12"/>
      <w:bookmarkStart w:id="4" w:name="OLE_LINK13"/>
      <w:r>
        <w:rPr>
          <w:rFonts w:cs="Arial"/>
          <w:b/>
        </w:rPr>
        <w:t>3GPP TSG-RAN WG2 Meeting #1</w:t>
      </w:r>
      <w:r>
        <w:rPr>
          <w:rFonts w:hint="eastAsia" w:cs="Arial"/>
          <w:b/>
          <w:lang w:val="en-US" w:eastAsia="zh-CN"/>
        </w:rPr>
        <w:t>21-bis-e</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303496</w:t>
      </w:r>
    </w:p>
    <w:p>
      <w:pPr>
        <w:snapToGrid w:val="0"/>
        <w:spacing w:after="0" w:line="240" w:lineRule="auto"/>
        <w:rPr>
          <w:rFonts w:hint="eastAsia" w:cs="Arial" w:eastAsiaTheme="minorEastAsia"/>
          <w:b/>
          <w:lang w:val="en-US" w:eastAsia="zh-CN"/>
        </w:rPr>
      </w:pPr>
      <w:r>
        <w:rPr>
          <w:rFonts w:hint="eastAsia" w:cs="Arial"/>
          <w:b/>
          <w:lang w:val="en-US" w:eastAsia="zh-CN"/>
        </w:rPr>
        <w:t>Online</w:t>
      </w:r>
      <w:r>
        <w:rPr>
          <w:rFonts w:cs="Arial"/>
          <w:b/>
        </w:rPr>
        <w:t xml:space="preserve">, </w:t>
      </w:r>
      <w:r>
        <w:rPr>
          <w:rFonts w:hint="eastAsia" w:cs="Arial"/>
          <w:b/>
          <w:lang w:val="en-US" w:eastAsia="zh-CN"/>
        </w:rPr>
        <w:t>Apr</w:t>
      </w:r>
      <w:r>
        <w:rPr>
          <w:rFonts w:cs="Arial"/>
          <w:b/>
        </w:rPr>
        <w:t xml:space="preserve"> </w:t>
      </w:r>
      <w:r>
        <w:rPr>
          <w:rFonts w:hint="eastAsia" w:cs="Arial"/>
          <w:b/>
          <w:lang w:val="en-US" w:eastAsia="zh-CN"/>
        </w:rPr>
        <w:t>17</w:t>
      </w:r>
      <w:r>
        <w:rPr>
          <w:rFonts w:hint="eastAsia" w:cs="Arial"/>
          <w:b/>
          <w:vertAlign w:val="superscript"/>
          <w:lang w:val="en-US" w:eastAsia="zh-CN"/>
        </w:rPr>
        <w:t>th</w:t>
      </w:r>
      <w:r>
        <w:rPr>
          <w:rFonts w:cs="Arial"/>
          <w:b/>
        </w:rPr>
        <w:t xml:space="preserve"> –</w:t>
      </w:r>
      <w:r>
        <w:rPr>
          <w:rFonts w:hint="eastAsia" w:cs="Arial"/>
          <w:b/>
          <w:lang w:val="en-US" w:eastAsia="zh-CN"/>
        </w:rPr>
        <w:t xml:space="preserve"> Apr 26</w:t>
      </w:r>
      <w:r>
        <w:rPr>
          <w:rFonts w:hint="eastAsia" w:cs="Arial"/>
          <w:b/>
          <w:vertAlign w:val="superscript"/>
          <w:lang w:val="en-US" w:eastAsia="zh-CN"/>
        </w:rPr>
        <w:t>th</w:t>
      </w:r>
      <w:r>
        <w:rPr>
          <w:rFonts w:cs="Arial"/>
          <w:b/>
        </w:rPr>
        <w:t>, 202</w:t>
      </w:r>
      <w:r>
        <w:rPr>
          <w:rFonts w:hint="eastAsia" w:cs="Arial"/>
          <w:b/>
          <w:lang w:val="en-US" w:eastAsia="zh-CN"/>
        </w:rPr>
        <w:t>3</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BW aggregation and RedCap positioning</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hint="eastAsia" w:eastAsia="宋体" w:cs="Arial"/>
          <w:b/>
          <w:lang w:val="en-US" w:eastAsia="zh-CN"/>
        </w:rPr>
        <w:t>7.2.5</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sz w:val="28"/>
          <w:lang w:val="en-US"/>
        </w:rPr>
        <w:t>Introduction</w:t>
      </w:r>
    </w:p>
    <w:p>
      <w:pPr>
        <w:pageBreakBefore w:val="0"/>
        <w:kinsoku/>
        <w:wordWrap/>
        <w:topLinePunct w:val="0"/>
        <w:bidi w:val="0"/>
        <w:adjustRightInd w:val="0"/>
        <w:snapToGrid w:val="0"/>
        <w:spacing w:before="157" w:beforeLines="50" w:after="157" w:afterLines="50" w:line="240" w:lineRule="auto"/>
        <w:jc w:val="both"/>
        <w:rPr>
          <w:rFonts w:hint="eastAsia" w:ascii="Times New Roman" w:hAnsi="Times New Roman"/>
          <w:sz w:val="20"/>
          <w:szCs w:val="20"/>
          <w:lang w:val="en-US" w:eastAsia="zh-CN"/>
        </w:rPr>
      </w:pPr>
      <w:r>
        <w:rPr>
          <w:rFonts w:hint="eastAsia" w:ascii="Times New Roman" w:hAnsi="Times New Roman"/>
          <w:iCs/>
          <w:sz w:val="20"/>
          <w:szCs w:val="20"/>
        </w:rPr>
        <w:t>W</w:t>
      </w:r>
      <w:r>
        <w:rPr>
          <w:rFonts w:ascii="Times New Roman" w:hAnsi="Times New Roman"/>
          <w:iCs/>
          <w:sz w:val="20"/>
          <w:szCs w:val="20"/>
        </w:rPr>
        <w:t>ID</w:t>
      </w:r>
      <w:r>
        <w:rPr>
          <w:rFonts w:hint="eastAsia" w:ascii="Times New Roman" w:hAnsi="Times New Roman"/>
          <w:iCs/>
          <w:sz w:val="20"/>
          <w:szCs w:val="20"/>
          <w:lang w:val="en-US" w:eastAsia="zh-CN"/>
        </w:rPr>
        <w:t>[1]</w:t>
      </w:r>
      <w:r>
        <w:rPr>
          <w:rFonts w:ascii="Times New Roman" w:hAnsi="Times New Roman"/>
          <w:iCs/>
          <w:sz w:val="20"/>
          <w:szCs w:val="20"/>
        </w:rPr>
        <w:t xml:space="preserve"> </w:t>
      </w:r>
      <w:r>
        <w:rPr>
          <w:rFonts w:hint="eastAsia" w:ascii="Times New Roman" w:hAnsi="Times New Roman"/>
          <w:iCs/>
          <w:sz w:val="20"/>
          <w:szCs w:val="20"/>
        </w:rPr>
        <w:t>o</w:t>
      </w:r>
      <w:r>
        <w:rPr>
          <w:rFonts w:ascii="Times New Roman" w:hAnsi="Times New Roman"/>
          <w:iCs/>
          <w:sz w:val="20"/>
          <w:szCs w:val="20"/>
        </w:rPr>
        <w:t>n Expanded and Improved NR Positioning was approved for Rel-18 where item</w:t>
      </w:r>
      <w:r>
        <w:rPr>
          <w:rFonts w:hint="eastAsia" w:ascii="Times New Roman" w:hAnsi="Times New Roman"/>
          <w:iCs/>
          <w:sz w:val="20"/>
          <w:szCs w:val="20"/>
          <w:lang w:val="en-US" w:eastAsia="zh-CN"/>
        </w:rPr>
        <w:t xml:space="preserve">s to </w:t>
      </w:r>
      <w:r>
        <w:rPr>
          <w:rFonts w:hint="eastAsia" w:ascii="Times New Roman" w:hAnsi="Times New Roman"/>
          <w:iCs/>
          <w:sz w:val="20"/>
          <w:szCs w:val="20"/>
        </w:rPr>
        <w:t xml:space="preserve">specify </w:t>
      </w:r>
      <w:r>
        <w:rPr>
          <w:rFonts w:ascii="Times New Roman" w:hAnsi="Times New Roman"/>
          <w:iCs/>
          <w:sz w:val="20"/>
          <w:szCs w:val="20"/>
        </w:rPr>
        <w:t xml:space="preserve">bandwidth aggregation </w:t>
      </w:r>
      <w:r>
        <w:rPr>
          <w:rFonts w:ascii="Times New Roman" w:hAnsi="Times New Roman"/>
          <w:bCs/>
          <w:sz w:val="20"/>
          <w:szCs w:val="20"/>
        </w:rPr>
        <w:t>techniques</w:t>
      </w:r>
      <w:r>
        <w:rPr>
          <w:rFonts w:hint="eastAsia" w:ascii="Times New Roman" w:hAnsi="Times New Roman"/>
          <w:bCs/>
          <w:sz w:val="20"/>
          <w:szCs w:val="20"/>
          <w:lang w:val="en-US" w:eastAsia="zh-CN"/>
        </w:rPr>
        <w:t xml:space="preserve"> and RedCap positioning are</w:t>
      </w:r>
      <w:r>
        <w:rPr>
          <w:rFonts w:ascii="Times New Roman" w:hAnsi="Times New Roman"/>
          <w:iCs/>
          <w:sz w:val="20"/>
          <w:szCs w:val="20"/>
        </w:rPr>
        <w:t xml:space="preserve"> as follows</w:t>
      </w:r>
      <w:r>
        <w:rPr>
          <w:rFonts w:hint="eastAsia" w:ascii="Times New Roman" w:hAnsi="Times New Roman"/>
          <w:sz w:val="20"/>
          <w:szCs w:val="20"/>
          <w:lang w:val="en-US" w:eastAsia="zh-CN"/>
        </w:rPr>
        <w: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Specify support of positioning for UEs with Reduced Capabilities (RedCap UEs)</w:t>
            </w:r>
          </w:p>
          <w:p>
            <w:pPr>
              <w:pageBreakBefore w:val="0"/>
              <w:numPr>
                <w:ilvl w:val="1"/>
                <w:numId w:val="6"/>
              </w:numPr>
              <w:kinsoku/>
              <w:wordWrap/>
              <w:topLinePunct w:val="0"/>
              <w:bidi w:val="0"/>
              <w:adjustRightInd w:val="0"/>
              <w:snapToGrid w:val="0"/>
              <w:spacing w:before="157" w:beforeLines="50" w:after="157" w:afterLines="50" w:line="240" w:lineRule="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 xml:space="preserve">Specify support of Frequency Hopping (FH) beyond maximum RedCap UE bandwidth for reception of DL PRS </w:t>
            </w:r>
            <w:r>
              <w:rPr>
                <w:rFonts w:hint="default" w:ascii="Times New Roman" w:hAnsi="Times New Roman" w:cs="Times New Roman"/>
                <w:sz w:val="20"/>
                <w:szCs w:val="20"/>
                <w:lang w:val="en-US" w:eastAsia="zh-CN"/>
              </w:rPr>
              <w:t>and</w:t>
            </w:r>
            <w:r>
              <w:rPr>
                <w:rFonts w:hint="default" w:ascii="Times New Roman" w:hAnsi="Times New Roman" w:eastAsia="MS Mincho" w:cs="Times New Roman"/>
                <w:sz w:val="20"/>
                <w:szCs w:val="20"/>
                <w:lang w:val="en-US" w:eastAsia="ko-KR"/>
              </w:rPr>
              <w:t xml:space="preserve"> transmission of UL SRS for positioning [RAN1, RAN2].</w:t>
            </w:r>
          </w:p>
          <w:p>
            <w:pPr>
              <w:pageBreakBefore w:val="0"/>
              <w:numPr>
                <w:ilvl w:val="0"/>
                <w:numId w:val="7"/>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Specify bandwidth aggregation for positioning measurements across up to three intra-band contiguous carriers [RAN1, RAN2, RAN4].</w:t>
            </w:r>
          </w:p>
          <w:p>
            <w:pPr>
              <w:pageBreakBefore w:val="0"/>
              <w:numPr>
                <w:ilvl w:val="1"/>
                <w:numId w:val="7"/>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pageBreakBefore w:val="0"/>
              <w:numPr>
                <w:ilvl w:val="2"/>
                <w:numId w:val="7"/>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lang w:val="en-US" w:eastAsia="ko-KR"/>
              </w:rPr>
              <w:t>NOTE: The support of bandwidth aggregation for positioning measurements applies only to timing related measurements (e.g., RSTD, RTOA, and UE/gNB Rx-Tx time difference).</w:t>
            </w:r>
          </w:p>
        </w:tc>
      </w:tr>
    </w:tbl>
    <w:p>
      <w:pPr>
        <w:pageBreakBefore w:val="0"/>
        <w:kinsoku/>
        <w:wordWrap/>
        <w:topLinePunct w:val="0"/>
        <w:bidi w:val="0"/>
        <w:adjustRightInd w:val="0"/>
        <w:snapToGrid w:val="0"/>
        <w:spacing w:before="157" w:beforeLines="50" w:after="157" w:afterLines="50" w:line="240" w:lineRule="auto"/>
        <w:jc w:val="both"/>
        <w:rPr>
          <w:rFonts w:ascii="Times New Roman" w:hAnsi="Times New Roman"/>
          <w:iCs/>
          <w:sz w:val="20"/>
          <w:szCs w:val="20"/>
        </w:rPr>
      </w:pPr>
      <w:r>
        <w:rPr>
          <w:rFonts w:ascii="Times New Roman" w:hAnsi="Times New Roman"/>
          <w:iCs/>
          <w:sz w:val="20"/>
          <w:szCs w:val="20"/>
        </w:rPr>
        <w:t xml:space="preserve">In this contribution, we provide our views on </w:t>
      </w:r>
      <w:r>
        <w:rPr>
          <w:rFonts w:hint="eastAsia" w:ascii="Times New Roman" w:hAnsi="Times New Roman"/>
          <w:iCs/>
          <w:sz w:val="20"/>
          <w:szCs w:val="20"/>
          <w:lang w:val="en-US" w:eastAsia="zh-CN"/>
        </w:rPr>
        <w:t>the configuration of bandwidth aggregation and RedCap positioning</w:t>
      </w:r>
      <w:r>
        <w:rPr>
          <w:rFonts w:ascii="Times New Roman" w:hAnsi="Times New Roman"/>
          <w:sz w:val="20"/>
          <w:szCs w:val="20"/>
          <w:lang w:eastAsia="ko-KR"/>
        </w:rPr>
        <w:t xml:space="preserve"> </w:t>
      </w:r>
      <w:r>
        <w:rPr>
          <w:rFonts w:ascii="Times New Roman" w:hAnsi="Times New Roman"/>
          <w:iCs/>
          <w:sz w:val="20"/>
          <w:szCs w:val="20"/>
        </w:rPr>
        <w:t>from RAN</w:t>
      </w:r>
      <w:r>
        <w:rPr>
          <w:rFonts w:hint="eastAsia" w:ascii="Times New Roman" w:hAnsi="Times New Roman"/>
          <w:iCs/>
          <w:sz w:val="20"/>
          <w:szCs w:val="20"/>
          <w:lang w:val="en-US" w:eastAsia="zh-CN"/>
        </w:rPr>
        <w:t>2</w:t>
      </w:r>
      <w:r>
        <w:rPr>
          <w:rFonts w:ascii="Times New Roman" w:hAnsi="Times New Roman"/>
          <w:iCs/>
          <w:sz w:val="20"/>
          <w:szCs w:val="20"/>
        </w:rPr>
        <w:t xml:space="preserve"> perspective.</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pageBreakBefore w:val="0"/>
        <w:numPr>
          <w:ilvl w:val="1"/>
          <w:numId w:val="5"/>
        </w:numPr>
        <w:kinsoku/>
        <w:wordWrap/>
        <w:topLinePunct w:val="0"/>
        <w:bidi w:val="0"/>
        <w:adjustRightInd w:val="0"/>
        <w:snapToGrid w:val="0"/>
        <w:spacing w:before="157" w:beforeLines="50" w:after="157" w:afterLines="50" w:line="240" w:lineRule="auto"/>
        <w:ind w:left="567" w:leftChars="0" w:hanging="567" w:firstLineChars="0"/>
        <w:rPr>
          <w:lang w:val="en-US" w:eastAsia="zh-CN"/>
        </w:rPr>
      </w:pPr>
      <w:r>
        <w:rPr>
          <w:rFonts w:hint="eastAsia"/>
          <w:sz w:val="24"/>
          <w:szCs w:val="28"/>
          <w:lang w:val="en-US" w:eastAsia="zh-CN"/>
        </w:rPr>
        <w:t xml:space="preserve"> bandwidth aggregation</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lang w:val="en-US" w:eastAsia="zh-CN"/>
        </w:rPr>
      </w:pPr>
      <w:r>
        <w:rPr>
          <w:rFonts w:hint="eastAsia"/>
          <w:lang w:val="en-US" w:eastAsia="zh-CN"/>
        </w:rPr>
        <w:t xml:space="preserve">DL-PRS aggregation </w:t>
      </w:r>
    </w:p>
    <w:p>
      <w:pPr>
        <w:snapToGrid w:val="0"/>
        <w:spacing w:before="180" w:beforeLines="50" w:after="180" w:afterLines="50" w:line="240" w:lineRule="auto"/>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RAN1#112[2] has achieved the following agreement on the linkage configuration:</w:t>
      </w:r>
    </w:p>
    <w:tbl>
      <w:tblPr>
        <w:tblStyle w:val="5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Pr>
          <w:p>
            <w:pPr>
              <w:snapToGrid w:val="0"/>
              <w:spacing w:after="0" w:line="240" w:lineRule="auto"/>
              <w:jc w:val="both"/>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jc w:val="both"/>
              <w:rPr>
                <w:rFonts w:ascii="Times New Roman" w:hAnsi="Times New Roman"/>
                <w:sz w:val="20"/>
                <w:szCs w:val="20"/>
              </w:rPr>
            </w:pPr>
            <w:r>
              <w:rPr>
                <w:rFonts w:ascii="Times New Roman" w:hAnsi="Times New Roman"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8"/>
              </w:numPr>
              <w:snapToGrid w:val="0"/>
              <w:spacing w:after="0" w:line="240" w:lineRule="auto"/>
              <w:contextualSpacing/>
              <w:jc w:val="both"/>
              <w:rPr>
                <w:rFonts w:ascii="Times New Roman" w:hAnsi="Times New Roman" w:eastAsia="宋体"/>
                <w:sz w:val="20"/>
                <w:szCs w:val="20"/>
              </w:rPr>
            </w:pPr>
            <w:r>
              <w:rPr>
                <w:rFonts w:ascii="Times New Roman" w:hAnsi="Times New Roman" w:eastAsia="宋体"/>
                <w:sz w:val="20"/>
                <w:szCs w:val="20"/>
              </w:rPr>
              <w:t>FFS whether the link is for all TRPs or per TRP basis</w:t>
            </w:r>
          </w:p>
          <w:p>
            <w:pPr>
              <w:numPr>
                <w:ilvl w:val="0"/>
                <w:numId w:val="8"/>
              </w:numPr>
              <w:snapToGrid w:val="0"/>
              <w:spacing w:after="0" w:line="240" w:lineRule="auto"/>
              <w:contextualSpacing/>
              <w:jc w:val="both"/>
              <w:rPr>
                <w:rFonts w:ascii="Times New Roman" w:hAnsi="Times New Roman" w:eastAsia="宋体"/>
                <w:sz w:val="20"/>
                <w:szCs w:val="20"/>
              </w:rPr>
            </w:pPr>
            <w:r>
              <w:rPr>
                <w:rFonts w:ascii="Times New Roman" w:hAnsi="Times New Roman" w:eastAsia="宋体"/>
                <w:sz w:val="20"/>
                <w:szCs w:val="20"/>
              </w:rPr>
              <w:t>FFS whether the link is per PRS resource set basis or per PRS resource basis.</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To inform UE which PFLs are linked for potential PRS bandwidth aggregation measurement, the existing assistance data should be enhanced as shown in the above agreement.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Since all TRPs/gNBs may not be upgraded simultaneously in the feature deployment, it is better to have flexibility configuring PFL aggregation only for a part of TRPs.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To keep both specification and implementation simple, we suggest per TRP basis for the link signaling between PFLs. We haven’t found the good use cases and benefit of per resource set or resource basis. </w:t>
      </w:r>
    </w:p>
    <w:p>
      <w:pPr>
        <w:snapToGrid w:val="0"/>
        <w:spacing w:before="180" w:beforeLines="50" w:after="180" w:afterLines="50" w:line="240" w:lineRule="auto"/>
        <w:jc w:val="both"/>
        <w:rPr>
          <w:rFonts w:hint="default" w:ascii="Times New Roman" w:hAnsi="Times New Roman" w:eastAsiaTheme="minorEastAsia"/>
          <w:sz w:val="20"/>
          <w:szCs w:val="20"/>
          <w:lang w:val="en-US" w:eastAsia="zh-CN"/>
        </w:rPr>
      </w:pPr>
      <w:r>
        <w:rPr>
          <w:rFonts w:hint="eastAsia" w:ascii="Times New Roman" w:hAnsi="Times New Roman"/>
          <w:sz w:val="20"/>
          <w:szCs w:val="20"/>
          <w:lang w:val="en-US" w:eastAsia="zh-CN"/>
        </w:rPr>
        <w:t>That means, the PFL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linkage and TRP</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linkage are both needed in LPP specification.</w:t>
      </w:r>
    </w:p>
    <w:p>
      <w:pPr>
        <w:snapToGrid w:val="0"/>
        <w:spacing w:before="180" w:beforeLines="50" w:after="180" w:afterLines="50" w:line="240" w:lineRule="auto"/>
        <w:rPr>
          <w:rFonts w:hint="default" w:eastAsiaTheme="minorEastAsia"/>
          <w:b/>
          <w:bCs w:val="0"/>
          <w:i/>
          <w:iCs w:val="0"/>
          <w:lang w:val="en-US" w:eastAsia="zh-CN"/>
        </w:rPr>
      </w:pPr>
      <w:r>
        <w:rPr>
          <w:rFonts w:ascii="Times New Roman" w:hAnsi="Times New Roman"/>
          <w:b/>
          <w:bCs w:val="0"/>
          <w:i/>
          <w:iCs w:val="0"/>
          <w:sz w:val="20"/>
          <w:szCs w:val="20"/>
        </w:rPr>
        <w:t xml:space="preserve">Proposal </w:t>
      </w:r>
      <w:r>
        <w:rPr>
          <w:rFonts w:hint="eastAsia" w:ascii="Times New Roman" w:hAnsi="Times New Roman"/>
          <w:b/>
          <w:bCs w:val="0"/>
          <w:i/>
          <w:iCs w:val="0"/>
          <w:sz w:val="20"/>
          <w:szCs w:val="20"/>
          <w:lang w:val="en-US" w:eastAsia="zh-CN"/>
        </w:rPr>
        <w:t>1</w:t>
      </w:r>
      <w:r>
        <w:rPr>
          <w:rFonts w:ascii="Times New Roman" w:hAnsi="Times New Roman"/>
          <w:b/>
          <w:bCs w:val="0"/>
          <w:i/>
          <w:iCs w:val="0"/>
          <w:sz w:val="20"/>
          <w:szCs w:val="20"/>
        </w:rPr>
        <w:t xml:space="preserve">: For PRS bandwidth aggregation across PFLs, </w:t>
      </w:r>
      <w:r>
        <w:rPr>
          <w:rFonts w:hint="eastAsia" w:ascii="Times New Roman" w:hAnsi="Times New Roman"/>
          <w:b/>
          <w:bCs w:val="0"/>
          <w:i/>
          <w:iCs w:val="0"/>
          <w:sz w:val="20"/>
          <w:szCs w:val="20"/>
          <w:lang w:val="en-US" w:eastAsia="zh-CN"/>
        </w:rPr>
        <w:t>support new signaling to link PFLs and TRPs. FFS the detailed signaling structure.</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lang w:val="en-US" w:eastAsia="zh-CN"/>
        </w:rPr>
        <w:t>W</w:t>
      </w:r>
      <w:r>
        <w:rPr>
          <w:rFonts w:ascii="Times New Roman" w:hAnsi="Times New Roman"/>
          <w:sz w:val="20"/>
          <w:szCs w:val="20"/>
        </w:rPr>
        <w:t xml:space="preserve">hen PRS bandwidth aggregation is supported from network side, the following agreement </w:t>
      </w:r>
      <w:r>
        <w:rPr>
          <w:rFonts w:hint="eastAsia" w:ascii="Times New Roman" w:hAnsi="Times New Roman"/>
          <w:sz w:val="20"/>
          <w:szCs w:val="20"/>
          <w:lang w:val="en-US" w:eastAsia="zh-CN"/>
        </w:rPr>
        <w:t xml:space="preserve">in RAN1#112 </w:t>
      </w:r>
      <w:r>
        <w:rPr>
          <w:rFonts w:ascii="Times New Roman" w:hAnsi="Times New Roman"/>
          <w:sz w:val="20"/>
          <w:szCs w:val="20"/>
        </w:rPr>
        <w:t>has been made</w:t>
      </w:r>
      <w:r>
        <w:rPr>
          <w:rFonts w:hint="eastAsia" w:ascii="Times New Roman" w:hAnsi="Times New Roman"/>
          <w:sz w:val="20"/>
          <w:szCs w:val="20"/>
          <w:lang w:val="en-US" w:eastAsia="zh-CN"/>
        </w:rPr>
        <w:t>:</w:t>
      </w:r>
      <w:r>
        <w:rPr>
          <w:rFonts w:ascii="Times New Roman" w:hAnsi="Times New Roman"/>
          <w:sz w:val="20"/>
          <w:szCs w:val="20"/>
        </w:rPr>
        <w:t xml:space="preserve"> </w:t>
      </w:r>
    </w:p>
    <w:tbl>
      <w:tblPr>
        <w:tblStyle w:val="5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spacing w:after="0" w:line="240" w:lineRule="auto"/>
              <w:jc w:val="both"/>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Agreement</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sz w:val="20"/>
              </w:rPr>
            </w:pPr>
            <w:r>
              <w:rPr>
                <w:rFonts w:hint="default" w:ascii="Times New Roman" w:hAnsi="Times New Roman" w:cs="Times New Roman"/>
                <w:sz w:val="20"/>
              </w:rPr>
              <w:t xml:space="preserve">Support LMF-initiated and UE-initiated on-demand PRS request for </w:t>
            </w:r>
            <w:r>
              <w:rPr>
                <w:rFonts w:hint="default" w:ascii="Times New Roman" w:hAnsi="Times New Roman" w:cs="Times New Roman"/>
                <w:sz w:val="20"/>
                <w:lang w:eastAsia="zh-CN"/>
              </w:rPr>
              <w:t>PRS</w:t>
            </w:r>
            <w:r>
              <w:rPr>
                <w:rFonts w:hint="default" w:ascii="Times New Roman" w:hAnsi="Times New Roman" w:cs="Times New Roman"/>
                <w:sz w:val="20"/>
              </w:rPr>
              <w:t xml:space="preserve"> bandwidth aggregation</w:t>
            </w:r>
          </w:p>
          <w:p>
            <w:pPr>
              <w:pStyle w:val="68"/>
              <w:numPr>
                <w:ilvl w:val="1"/>
                <w:numId w:val="9"/>
              </w:numPr>
              <w:overflowPunct/>
              <w:autoSpaceDE/>
              <w:autoSpaceDN/>
              <w:adjustRightInd/>
              <w:snapToGrid w:val="0"/>
              <w:spacing w:after="0" w:line="240" w:lineRule="auto"/>
              <w:jc w:val="both"/>
              <w:rPr>
                <w:rFonts w:hint="default" w:ascii="Times New Roman" w:hAnsi="Times New Roman" w:cs="Times New Roman"/>
                <w:sz w:val="20"/>
              </w:rPr>
            </w:pPr>
            <w:r>
              <w:rPr>
                <w:rFonts w:hint="default" w:ascii="Times New Roman" w:hAnsi="Times New Roman" w:cs="Times New Roman"/>
                <w:sz w:val="20"/>
              </w:rPr>
              <w:t>FFS details</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sz w:val="20"/>
              </w:rPr>
            </w:pPr>
            <w:r>
              <w:rPr>
                <w:rFonts w:hint="default" w:ascii="Times New Roman" w:hAnsi="Times New Roman" w:cs="Times New Roman"/>
                <w:sz w:val="20"/>
              </w:rPr>
              <w:t>Support preconfigured on-demand PRS across PFLs for PRS bandwidth aggregations</w:t>
            </w:r>
          </w:p>
          <w:p>
            <w:pPr>
              <w:pStyle w:val="68"/>
              <w:numPr>
                <w:ilvl w:val="1"/>
                <w:numId w:val="9"/>
              </w:numPr>
              <w:overflowPunct/>
              <w:autoSpaceDE/>
              <w:autoSpaceDN/>
              <w:adjustRightInd/>
              <w:snapToGrid w:val="0"/>
              <w:spacing w:after="0" w:line="240" w:lineRule="auto"/>
              <w:jc w:val="both"/>
              <w:rPr>
                <w:sz w:val="20"/>
              </w:rPr>
            </w:pPr>
            <w:r>
              <w:rPr>
                <w:rFonts w:hint="default" w:ascii="Times New Roman" w:hAnsi="Times New Roman" w:cs="Times New Roman"/>
                <w:sz w:val="20"/>
              </w:rPr>
              <w:t>FFS details</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For UE initiated on-demand PRS, Rel-17 supports preconfigured on-demand PRS where maximum 8 </w:t>
      </w:r>
      <w:r>
        <w:rPr>
          <w:rFonts w:hint="eastAsia" w:ascii="Times New Roman" w:hAnsi="Times New Roman"/>
          <w:sz w:val="20"/>
          <w:szCs w:val="20"/>
        </w:rPr>
        <w:t>PRS</w:t>
      </w:r>
      <w:r>
        <w:rPr>
          <w:rFonts w:ascii="Times New Roman" w:hAnsi="Times New Roman"/>
          <w:sz w:val="20"/>
          <w:szCs w:val="20"/>
        </w:rPr>
        <w:t xml:space="preserve"> configurations can be configured by LMF to UE as shown in the following box abstracted from 37.355. Then UE can further request the preferred configuration ID(s). </w:t>
      </w:r>
    </w:p>
    <w:tbl>
      <w:tblPr>
        <w:tblStyle w:val="5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NR-On-Demand-DL-PRS-Configurations-r17 ::= SEQUENCE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on-demand-dl-prs-configuration-list-r17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SEQUENCE (SIZE (1..maxOD-DL-PRS-Configs-r17)) OF</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On-Demand-DL-PRS-Configuration-r17,</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 xml:space="preserve">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On-Demand-DL-PRS-Configuration-r17 ::= SEQUENCE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color w:val="FF0000"/>
                <w:sz w:val="16"/>
                <w:szCs w:val="16"/>
              </w:rPr>
              <w:t>dl-prs-configuration-id-r17</w:t>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DL-PRS-Configuration-ID-r17</w:t>
            </w:r>
            <w:r>
              <w:rPr>
                <w:rFonts w:ascii="Times New Roman" w:hAnsi="Times New Roman" w:eastAsia="Times New Roman"/>
                <w:sz w:val="16"/>
                <w:szCs w:val="16"/>
              </w:rPr>
              <w:t>,</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nr-DL-PRS-PositioningFrequencyLayer-r17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NR-DL-PRS-PositioningFrequencyLayer-r16,</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nr-DL-PRS-Info-r17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NR-DL-PRS-Info-r16,</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Alternatively, as shown in the following box abstracted from 37.355, UE can directly request the preferred PRS parameters for each PFL including the preferred PRS bandwidth, repetition factor, comb size, etc. </w:t>
      </w:r>
    </w:p>
    <w:tbl>
      <w:tblPr>
        <w:tblStyle w:val="5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NR-On-Demand-DL-PRS-Information-r17 ::= SEQUENCE (SIZE (1..nrMaxFreqLayers-r16)) OF</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NR-On-Demand-DL-PRS-PerFreqLayer-r17</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 xml:space="preserve">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NR-On-Demand-DL-PRS-PerFreqLayer-r17 ::= SEQUENCE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dl-prs-FrequencyRangeReq-r17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ENUMERATED { fr1, fr2,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dl-prs-ResourceSetPeriodicityReq-r17</w:t>
            </w:r>
            <w:r>
              <w:rPr>
                <w:rFonts w:ascii="Times New Roman" w:hAnsi="Times New Roman" w:eastAsia="Times New Roman"/>
                <w:sz w:val="16"/>
                <w:szCs w:val="16"/>
              </w:rPr>
              <w:tab/>
            </w:r>
            <w:r>
              <w:rPr>
                <w:rFonts w:ascii="Times New Roman" w:hAnsi="Times New Roman" w:eastAsia="Times New Roman"/>
                <w:sz w:val="16"/>
                <w:szCs w:val="16"/>
              </w:rPr>
              <w:t>ENUMERATED { p4, p5, p8, p10, p16, p20, p32, p40,</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p64, p80, p160, p320, p640, p1280, p2560,</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p5120, p10240, p20480, p40960, p81920,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color w:val="FF0000"/>
                <w:sz w:val="16"/>
                <w:szCs w:val="16"/>
              </w:rPr>
              <w:t>dl-prs-ResourceBandwidthReq-r17</w:t>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INTEGER (1..63)</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dl-prs-ResourceRepetitionFactorReq-r17</w:t>
            </w:r>
            <w:r>
              <w:rPr>
                <w:rFonts w:ascii="Times New Roman" w:hAnsi="Times New Roman" w:eastAsia="Times New Roman"/>
                <w:sz w:val="16"/>
                <w:szCs w:val="16"/>
              </w:rPr>
              <w:tab/>
            </w:r>
            <w:r>
              <w:rPr>
                <w:rFonts w:ascii="Times New Roman" w:hAnsi="Times New Roman" w:eastAsia="Times New Roman"/>
                <w:sz w:val="16"/>
                <w:szCs w:val="16"/>
              </w:rPr>
              <w:t>ENUMERATED {n2, n4, n6, n8, n16, n32,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dl-prs-NumSymbolsReq-r17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ENUMERATED {n2, n4, n6, n12, ...}</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dl-prs-CombSizeN-Req-r17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ENUMERATED {n2, n4, n6, n12, ...}</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dl-prs-QCL-InformationReqTRPlist-r17</w:t>
            </w:r>
            <w:r>
              <w:rPr>
                <w:rFonts w:ascii="Times New Roman" w:hAnsi="Times New Roman" w:eastAsia="Times New Roman"/>
                <w:sz w:val="16"/>
                <w:szCs w:val="16"/>
              </w:rPr>
              <w:tab/>
            </w:r>
            <w:r>
              <w:rPr>
                <w:rFonts w:ascii="Times New Roman" w:hAnsi="Times New Roman" w:eastAsia="Times New Roman"/>
                <w:sz w:val="16"/>
                <w:szCs w:val="16"/>
              </w:rPr>
              <w:t>DL-PRS-QCL-InformationReqTRPlist-r17</w:t>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w:t>
            </w:r>
          </w:p>
          <w:p>
            <w:pPr>
              <w:pStyle w:val="105"/>
              <w:keepLines w:val="0"/>
              <w:snapToGrid w:val="0"/>
              <w:spacing w:line="240" w:lineRule="auto"/>
              <w:rPr>
                <w:rFonts w:ascii="Times New Roman" w:hAnsi="Times New Roman" w:eastAsia="Times New Roman"/>
                <w:b/>
                <w:bCs/>
                <w:i/>
                <w:iCs/>
                <w:sz w:val="16"/>
                <w:szCs w:val="16"/>
              </w:rPr>
            </w:pPr>
            <w:r>
              <w:rPr>
                <w:rFonts w:ascii="Times New Roman" w:hAnsi="Times New Roman"/>
                <w:b/>
                <w:bCs/>
                <w:i/>
                <w:iCs/>
                <w:sz w:val="16"/>
                <w:szCs w:val="16"/>
              </w:rPr>
              <w:t>dl-prs-ResourceBandwidthReq</w:t>
            </w:r>
          </w:p>
          <w:p>
            <w:pPr>
              <w:snapToGrid w:val="0"/>
              <w:spacing w:after="0" w:line="240" w:lineRule="auto"/>
              <w:rPr>
                <w:rFonts w:ascii="Times New Roman" w:hAnsi="Times New Roman"/>
                <w:sz w:val="16"/>
                <w:szCs w:val="16"/>
              </w:rPr>
            </w:pPr>
            <w:r>
              <w:rPr>
                <w:rFonts w:ascii="Times New Roman" w:hAnsi="Times New Roman"/>
                <w:sz w:val="16"/>
                <w:szCs w:val="16"/>
              </w:rPr>
              <w:t>This field specifies the requested number of PRBs allocated for the DL-PRS Resource (allocated DL-PRS bandwidth) in multiples of 4 PRBs. Integer value 1 corresponds to 24 PRBs, value 2 corresponds to 28 PRBs, value 3 corresponds to 32 PRBs and so on.</w:t>
            </w:r>
          </w:p>
        </w:tc>
      </w:tr>
    </w:tbl>
    <w:p>
      <w:pPr>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Based on the agreement, in the case there is preconfigured on-demand PRS, LMF should inform UE whether/which PFLs are linked/aggregated. Since one </w:t>
      </w:r>
      <w:r>
        <w:rPr>
          <w:rFonts w:ascii="Times New Roman" w:hAnsi="Times New Roman"/>
          <w:i/>
          <w:sz w:val="20"/>
          <w:szCs w:val="20"/>
        </w:rPr>
        <w:t>On-Demand-DL-PRS-Configuration</w:t>
      </w:r>
      <w:r>
        <w:rPr>
          <w:rFonts w:ascii="Times New Roman" w:hAnsi="Times New Roman"/>
          <w:sz w:val="20"/>
          <w:szCs w:val="20"/>
        </w:rPr>
        <w:t xml:space="preserve"> is associated with one PFL, that is, LMF should inform UE whether/which On-Demand-DL-PRS-Configuration IDs are linked/aggregated. </w:t>
      </w:r>
    </w:p>
    <w:p>
      <w:pPr>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As shown Step 1 in Figure </w:t>
      </w:r>
      <w:r>
        <w:rPr>
          <w:rFonts w:hint="eastAsia" w:ascii="Times New Roman" w:hAnsi="Times New Roman"/>
          <w:sz w:val="20"/>
          <w:szCs w:val="20"/>
          <w:lang w:val="en-US" w:eastAsia="zh-CN"/>
        </w:rPr>
        <w:t>1</w:t>
      </w:r>
      <w:r>
        <w:rPr>
          <w:rFonts w:ascii="Times New Roman" w:hAnsi="Times New Roman"/>
          <w:sz w:val="20"/>
          <w:szCs w:val="20"/>
        </w:rPr>
        <w:t xml:space="preserve">, the grouping information should be informed to UE together with the Rel-17 on-demand PRS configurations. In the figure, it is assumed four on-demand PRS configurations are divided into two groups where configuration#1 and #2 are linked, and #3 and #4 are linked for aggregation. </w:t>
      </w:r>
    </w:p>
    <w:p>
      <w:pPr>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In step 2, after UE receives the on-demand PRS configurations and the grouping information, UE can request the preferred on-demand PRS configuration ID(s) if the UE does not request PRS aggregation measurement, or can request the preferred group ID(s) if the UE needs PRS aggregation measurement for higher positioning accuracy. </w:t>
      </w:r>
    </w:p>
    <w:p>
      <w:pPr>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Alternatively, in step 2, UE can directly request the preferred PRS bandwidth value regardless of on-demand PRS configuration where the case of the requested bandwidth larger than the maximum value of the single PFL, e.g. &gt;272 PRBs implies that UE requests PRS bandwidth aggregation measurement for higher positioning accuracy. </w:t>
      </w:r>
    </w:p>
    <w:p>
      <w:pPr>
        <w:snapToGrid w:val="0"/>
        <w:spacing w:before="120" w:after="120" w:line="240" w:lineRule="auto"/>
        <w:jc w:val="center"/>
        <w:rPr>
          <w:lang w:val="zh-CN"/>
        </w:rPr>
      </w:pPr>
      <w:r>
        <w:rPr>
          <w:lang w:val="zh-CN"/>
        </w:rPr>
        <w:drawing>
          <wp:inline distT="0" distB="0" distL="0" distR="0">
            <wp:extent cx="4908550" cy="27660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946306" cy="2787399"/>
                    </a:xfrm>
                    <a:prstGeom prst="rect">
                      <a:avLst/>
                    </a:prstGeom>
                    <a:noFill/>
                  </pic:spPr>
                </pic:pic>
              </a:graphicData>
            </a:graphic>
          </wp:inline>
        </w:drawing>
      </w:r>
    </w:p>
    <w:p>
      <w:pPr>
        <w:snapToGrid w:val="0"/>
        <w:spacing w:before="120" w:after="12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lang w:val="en-US" w:eastAsia="zh-CN"/>
        </w:rPr>
        <w:t>1.</w:t>
      </w:r>
      <w:r>
        <w:rPr>
          <w:rFonts w:ascii="Times New Roman" w:hAnsi="Times New Roman"/>
          <w:sz w:val="20"/>
          <w:szCs w:val="20"/>
        </w:rPr>
        <w:t xml:space="preserve"> On-demand PRS for PRS bandwidth aggregation</w:t>
      </w:r>
    </w:p>
    <w:p>
      <w:pPr>
        <w:snapToGrid w:val="0"/>
        <w:spacing w:before="120" w:after="120" w:line="240" w:lineRule="auto"/>
        <w:jc w:val="both"/>
        <w:rPr>
          <w:rFonts w:hint="default" w:ascii="Times New Roman" w:hAnsi="Times New Roman" w:eastAsiaTheme="minorEastAsia"/>
          <w:sz w:val="20"/>
          <w:szCs w:val="20"/>
          <w:lang w:val="en-US" w:eastAsia="zh-CN"/>
        </w:rPr>
      </w:pPr>
      <w:r>
        <w:rPr>
          <w:rFonts w:ascii="Times New Roman" w:hAnsi="Times New Roman"/>
          <w:sz w:val="20"/>
          <w:szCs w:val="20"/>
        </w:rPr>
        <w:t xml:space="preserve">For LMF-initiated on-demand PRS, it only supports LMF directly requests preferred PRS parameters including bandwidth. Similar as Option 2 in Figure </w:t>
      </w:r>
      <w:r>
        <w:rPr>
          <w:rFonts w:hint="eastAsia" w:ascii="Times New Roman" w:hAnsi="Times New Roman"/>
          <w:sz w:val="20"/>
          <w:szCs w:val="20"/>
          <w:lang w:val="en-US" w:eastAsia="zh-CN"/>
        </w:rPr>
        <w:t>1</w:t>
      </w:r>
      <w:r>
        <w:rPr>
          <w:rFonts w:ascii="Times New Roman" w:hAnsi="Times New Roman"/>
          <w:sz w:val="20"/>
          <w:szCs w:val="20"/>
        </w:rPr>
        <w:t>, Rel-18 can be enhanced to support that the requested bandwidth is larger than the maximum value of the single PFL, which implies that LMF requests PRS bandwidth aggregation.</w:t>
      </w:r>
      <w:r>
        <w:rPr>
          <w:rFonts w:hint="eastAsia" w:ascii="Times New Roman" w:hAnsi="Times New Roman"/>
          <w:sz w:val="20"/>
          <w:szCs w:val="20"/>
          <w:lang w:val="en-US" w:eastAsia="zh-CN"/>
        </w:rPr>
        <w:t xml:space="preserve"> Since it depends on RAN3</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design, we suggest to send LS to RAN3 on LMF-initiated on-demand PRS request.</w:t>
      </w:r>
    </w:p>
    <w:p>
      <w:pPr>
        <w:snapToGrid w:val="0"/>
        <w:spacing w:after="0" w:line="240" w:lineRule="auto"/>
        <w:jc w:val="both"/>
        <w:rPr>
          <w:rFonts w:hint="default" w:ascii="Times New Roman" w:hAnsi="Times New Roman" w:cs="Times New Roman"/>
          <w:b/>
          <w:bCs w:val="0"/>
          <w:i/>
          <w:sz w:val="20"/>
          <w:szCs w:val="20"/>
        </w:rPr>
      </w:pPr>
      <w:r>
        <w:rPr>
          <w:rFonts w:ascii="Times New Roman" w:hAnsi="Times New Roman"/>
          <w:b/>
          <w:bCs w:val="0"/>
          <w:i/>
          <w:sz w:val="20"/>
          <w:szCs w:val="20"/>
        </w:rPr>
        <w:t xml:space="preserve">Proposal </w:t>
      </w:r>
      <w:r>
        <w:rPr>
          <w:rFonts w:hint="eastAsia" w:ascii="Times New Roman" w:hAnsi="Times New Roman"/>
          <w:b/>
          <w:bCs w:val="0"/>
          <w:i/>
          <w:sz w:val="20"/>
          <w:szCs w:val="20"/>
          <w:lang w:val="en-US" w:eastAsia="zh-CN"/>
        </w:rPr>
        <w:t>2</w:t>
      </w:r>
      <w:r>
        <w:rPr>
          <w:rFonts w:hint="default" w:ascii="Times New Roman" w:hAnsi="Times New Roman" w:cs="Times New Roman"/>
          <w:b/>
          <w:bCs w:val="0"/>
          <w:i/>
          <w:sz w:val="20"/>
          <w:szCs w:val="20"/>
        </w:rPr>
        <w:t>: For UE-initiated on-demand PRS request for PRS bandwidth aggregation, support</w:t>
      </w:r>
    </w:p>
    <w:p>
      <w:pPr>
        <w:pStyle w:val="68"/>
        <w:numPr>
          <w:ilvl w:val="0"/>
          <w:numId w:val="10"/>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On-demand PRS configuration can include the group information where the linked on-demand PRS configuration IDs are in the same group for aggregation</w:t>
      </w:r>
    </w:p>
    <w:p>
      <w:pPr>
        <w:pStyle w:val="68"/>
        <w:numPr>
          <w:ilvl w:val="0"/>
          <w:numId w:val="10"/>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UE can request on-demand PRS configuration ID(s) or group ID(s)</w:t>
      </w:r>
    </w:p>
    <w:p>
      <w:pPr>
        <w:pStyle w:val="68"/>
        <w:numPr>
          <w:ilvl w:val="0"/>
          <w:numId w:val="10"/>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UE can request PRS bandwidth larger than that of a single PFL implying PRS bandwidth aggregation request</w:t>
      </w:r>
    </w:p>
    <w:p>
      <w:pPr>
        <w:pStyle w:val="68"/>
        <w:snapToGrid w:val="0"/>
        <w:spacing w:after="0" w:line="240" w:lineRule="auto"/>
        <w:jc w:val="both"/>
        <w:rPr>
          <w:rFonts w:hint="default" w:ascii="Times New Roman" w:hAnsi="Times New Roman" w:cs="Times New Roman"/>
          <w:b/>
          <w:bCs w:val="0"/>
          <w:i/>
          <w:sz w:val="20"/>
        </w:rPr>
      </w:pPr>
    </w:p>
    <w:p>
      <w:pPr>
        <w:snapToGrid w:val="0"/>
        <w:spacing w:after="0" w:line="240" w:lineRule="auto"/>
        <w:jc w:val="both"/>
        <w:rPr>
          <w:rFonts w:hint="default" w:ascii="Times New Roman" w:hAnsi="Times New Roman" w:cs="Times New Roman"/>
          <w:b/>
          <w:bCs w:val="0"/>
          <w:i/>
          <w:sz w:val="20"/>
          <w:szCs w:val="20"/>
        </w:rPr>
      </w:pPr>
      <w:r>
        <w:rPr>
          <w:rFonts w:hint="default" w:ascii="Times New Roman" w:hAnsi="Times New Roman" w:cs="Times New Roman"/>
          <w:b/>
          <w:bCs w:val="0"/>
          <w:i/>
          <w:sz w:val="20"/>
          <w:szCs w:val="20"/>
        </w:rPr>
        <w:t xml:space="preserve">Proposal </w:t>
      </w:r>
      <w:r>
        <w:rPr>
          <w:rFonts w:hint="eastAsia" w:ascii="Times New Roman" w:hAnsi="Times New Roman" w:cs="Times New Roman"/>
          <w:b/>
          <w:bCs w:val="0"/>
          <w:i/>
          <w:sz w:val="20"/>
          <w:szCs w:val="20"/>
          <w:lang w:val="en-US" w:eastAsia="zh-CN"/>
        </w:rPr>
        <w:t>3</w:t>
      </w:r>
      <w:r>
        <w:rPr>
          <w:rFonts w:hint="default" w:ascii="Times New Roman" w:hAnsi="Times New Roman" w:cs="Times New Roman"/>
          <w:b/>
          <w:bCs w:val="0"/>
          <w:i/>
          <w:sz w:val="20"/>
          <w:szCs w:val="20"/>
        </w:rPr>
        <w:t>: For LMF-initiated on-demand PRS request for PRS bandwidth aggregation, support</w:t>
      </w:r>
    </w:p>
    <w:p>
      <w:pPr>
        <w:pStyle w:val="68"/>
        <w:numPr>
          <w:ilvl w:val="0"/>
          <w:numId w:val="10"/>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LMF can request PRS bandwidth larger than that of a single PFL implying PRS bandwidth aggregation request</w:t>
      </w:r>
    </w:p>
    <w:p>
      <w:pPr>
        <w:pStyle w:val="68"/>
        <w:numPr>
          <w:ilvl w:val="0"/>
          <w:numId w:val="10"/>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 xml:space="preserve">Send an LS to RAN3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val="0"/>
          <w:sz w:val="20"/>
          <w:szCs w:val="20"/>
          <w:lang w:val="en-US" w:eastAsia="zh-CN"/>
        </w:rPr>
      </w:pP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lang w:val="en-US" w:eastAsia="zh-CN"/>
        </w:rPr>
      </w:pPr>
      <w:r>
        <w:rPr>
          <w:rFonts w:hint="eastAsia"/>
          <w:lang w:val="en-US" w:eastAsia="zh-CN"/>
        </w:rPr>
        <w:t xml:space="preserve">UL-SRS aggregation </w:t>
      </w:r>
    </w:p>
    <w:p>
      <w:pPr>
        <w:snapToGrid w:val="0"/>
        <w:spacing w:before="180" w:beforeLines="50" w:after="180" w:afterLines="50" w:line="240" w:lineRule="auto"/>
        <w:jc w:val="both"/>
        <w:rPr>
          <w:lang w:val="en-US" w:eastAsia="zh-CN"/>
        </w:rPr>
      </w:pPr>
      <w:r>
        <w:rPr>
          <w:rFonts w:hint="eastAsia" w:ascii="Times New Roman" w:hAnsi="Times New Roman"/>
          <w:sz w:val="20"/>
          <w:szCs w:val="20"/>
          <w:lang w:val="en-US" w:eastAsia="zh-CN"/>
        </w:rPr>
        <w:t>RAN1#112 has achieved the following agreement on the linkage configuration:</w:t>
      </w:r>
    </w:p>
    <w:tbl>
      <w:tblPr>
        <w:tblStyle w:val="5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spacing w:after="0" w:line="240" w:lineRule="auto"/>
              <w:jc w:val="both"/>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8"/>
              </w:numPr>
              <w:snapToGrid w:val="0"/>
              <w:spacing w:after="0" w:line="240" w:lineRule="auto"/>
              <w:contextualSpacing/>
              <w:rPr>
                <w:rFonts w:ascii="Times New Roman" w:hAnsi="Times New Roman" w:eastAsia="宋体"/>
                <w:sz w:val="20"/>
                <w:szCs w:val="20"/>
              </w:rPr>
            </w:pPr>
            <w:r>
              <w:rPr>
                <w:rFonts w:ascii="Times New Roman" w:hAnsi="Times New Roman" w:eastAsia="宋体"/>
                <w:sz w:val="20"/>
                <w:szCs w:val="20"/>
              </w:rPr>
              <w:t>SRS resources are per BWP per carrier configuration</w:t>
            </w:r>
          </w:p>
          <w:p>
            <w:pPr>
              <w:numPr>
                <w:ilvl w:val="0"/>
                <w:numId w:val="8"/>
              </w:numPr>
              <w:snapToGrid w:val="0"/>
              <w:spacing w:after="0" w:line="240" w:lineRule="auto"/>
              <w:contextualSpacing/>
              <w:rPr>
                <w:rFonts w:ascii="Times New Roman" w:hAnsi="Times New Roman" w:eastAsia="宋体"/>
                <w:sz w:val="20"/>
                <w:szCs w:val="20"/>
              </w:rPr>
            </w:pPr>
            <w:r>
              <w:rPr>
                <w:rFonts w:ascii="Times New Roman" w:hAnsi="Times New Roman" w:eastAsia="宋体"/>
                <w:sz w:val="20"/>
                <w:szCs w:val="20"/>
              </w:rPr>
              <w:t>FFS whether the link is per SRS resource set basis or per SRS resource basis.</w:t>
            </w:r>
          </w:p>
        </w:tc>
      </w:tr>
    </w:tbl>
    <w:p>
      <w:pPr>
        <w:pageBreakBefore w:val="0"/>
        <w:kinsoku/>
        <w:wordWrap/>
        <w:topLinePunct w:val="0"/>
        <w:bidi w:val="0"/>
        <w:adjustRightInd w:val="0"/>
        <w:snapToGrid w:val="0"/>
        <w:spacing w:before="157" w:beforeLines="50" w:after="157" w:afterLines="50" w:line="240" w:lineRule="auto"/>
        <w:jc w:val="both"/>
        <w:rPr>
          <w:rFonts w:hint="eastAsia" w:ascii="Times New Roman" w:hAnsi="Times New Roman"/>
          <w:sz w:val="20"/>
          <w:szCs w:val="20"/>
        </w:rPr>
      </w:pPr>
      <w:r>
        <w:rPr>
          <w:rFonts w:hint="eastAsia" w:ascii="Times New Roman" w:hAnsi="Times New Roman"/>
          <w:sz w:val="20"/>
          <w:szCs w:val="20"/>
        </w:rPr>
        <w:t>To keep both specification and implementation simple, we suggest per carrier basis for the link signaling. That is, a higher layer signaling is used to indicate which serving cells are linked, and then the SRS resources for positioning are one-to-one mapping between the linked carriers. So far, we haven</w:t>
      </w:r>
      <w:r>
        <w:rPr>
          <w:rFonts w:hint="default" w:ascii="Times New Roman" w:hAnsi="Times New Roman"/>
          <w:sz w:val="20"/>
          <w:szCs w:val="20"/>
          <w:lang w:val="en-US" w:eastAsia="zh-CN"/>
        </w:rPr>
        <w:t>’</w:t>
      </w:r>
      <w:r>
        <w:rPr>
          <w:rFonts w:hint="eastAsia" w:ascii="Times New Roman" w:hAnsi="Times New Roman"/>
          <w:sz w:val="20"/>
          <w:szCs w:val="20"/>
        </w:rPr>
        <w:t xml:space="preserve">t found the good use cases and benefit of per resource set or resource basis. </w:t>
      </w:r>
    </w:p>
    <w:p>
      <w:pPr>
        <w:snapToGrid w:val="0"/>
        <w:spacing w:before="180" w:beforeLines="50" w:after="180" w:afterLines="50" w:line="240" w:lineRule="auto"/>
        <w:jc w:val="both"/>
        <w:rPr>
          <w:rFonts w:ascii="Times New Roman" w:hAnsi="Times New Roman"/>
          <w:b/>
          <w:bCs w:val="0"/>
          <w:i/>
          <w:iCs w:val="0"/>
          <w:sz w:val="20"/>
          <w:szCs w:val="20"/>
        </w:rPr>
      </w:pPr>
      <w:r>
        <w:rPr>
          <w:rFonts w:ascii="Times New Roman" w:hAnsi="Times New Roman"/>
          <w:b/>
          <w:bCs w:val="0"/>
          <w:i/>
          <w:iCs w:val="0"/>
          <w:sz w:val="20"/>
          <w:szCs w:val="20"/>
        </w:rPr>
        <w:t xml:space="preserve">Proposal </w:t>
      </w:r>
      <w:r>
        <w:rPr>
          <w:rFonts w:hint="eastAsia" w:ascii="Times New Roman" w:hAnsi="Times New Roman"/>
          <w:b/>
          <w:bCs w:val="0"/>
          <w:i/>
          <w:iCs w:val="0"/>
          <w:sz w:val="20"/>
          <w:szCs w:val="20"/>
          <w:lang w:val="en-US" w:eastAsia="zh-CN"/>
        </w:rPr>
        <w:t>4</w:t>
      </w:r>
      <w:r>
        <w:rPr>
          <w:rFonts w:ascii="Times New Roman" w:hAnsi="Times New Roman"/>
          <w:b/>
          <w:bCs w:val="0"/>
          <w:i/>
          <w:iCs w:val="0"/>
          <w:sz w:val="20"/>
          <w:szCs w:val="20"/>
        </w:rPr>
        <w:t>: For SRS bandwidth aggregation across carriers, support higher layer signaling to indicate which carriers are linked, where the SRS resources for positioning between the linked carriers are one-to-one mapping</w:t>
      </w:r>
      <w:r>
        <w:rPr>
          <w:rFonts w:hint="eastAsia" w:ascii="Times New Roman" w:hAnsi="Times New Roman"/>
          <w:b/>
          <w:bCs w:val="0"/>
          <w:i/>
          <w:iCs w:val="0"/>
          <w:sz w:val="20"/>
          <w:szCs w:val="20"/>
          <w:lang w:val="en-US" w:eastAsia="zh-CN"/>
        </w:rPr>
        <w:t>.</w:t>
      </w:r>
      <w:r>
        <w:rPr>
          <w:rFonts w:ascii="Times New Roman" w:hAnsi="Times New Roman"/>
          <w:b/>
          <w:bCs w:val="0"/>
          <w:i/>
          <w:iCs w:val="0"/>
          <w:sz w:val="20"/>
          <w:szCs w:val="20"/>
        </w:rPr>
        <w:t xml:space="preserve">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val="0"/>
          <w:sz w:val="20"/>
          <w:szCs w:val="20"/>
        </w:rPr>
      </w:pPr>
    </w:p>
    <w:p>
      <w:pPr>
        <w:pStyle w:val="3"/>
        <w:pageBreakBefore w:val="0"/>
        <w:numPr>
          <w:ilvl w:val="1"/>
          <w:numId w:val="5"/>
        </w:numPr>
        <w:kinsoku/>
        <w:wordWrap/>
        <w:topLinePunct w:val="0"/>
        <w:bidi w:val="0"/>
        <w:adjustRightInd w:val="0"/>
        <w:snapToGrid w:val="0"/>
        <w:spacing w:before="157" w:beforeLines="50" w:after="157" w:afterLines="50" w:line="240" w:lineRule="auto"/>
        <w:rPr>
          <w:rFonts w:hint="default" w:ascii="Arial" w:hAnsi="Arial" w:cs="Arial"/>
          <w:lang w:val="en-US" w:eastAsia="zh-CN"/>
        </w:rPr>
      </w:pPr>
      <w:r>
        <w:rPr>
          <w:rFonts w:hint="eastAsia" w:eastAsia="宋体"/>
          <w:sz w:val="24"/>
          <w:szCs w:val="28"/>
          <w:lang w:val="en-US" w:eastAsia="zh-CN"/>
        </w:rPr>
        <w:t xml:space="preserve"> RedCap positioning</w:t>
      </w:r>
      <w:r>
        <w:rPr>
          <w:rFonts w:hint="eastAsia"/>
          <w:sz w:val="22"/>
          <w:szCs w:val="24"/>
          <w:lang w:val="en-US" w:eastAsia="zh-CN"/>
        </w:rPr>
        <w:t xml:space="preserve"> </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lang w:val="en-US" w:eastAsia="zh-CN"/>
        </w:rPr>
      </w:pPr>
      <w:r>
        <w:rPr>
          <w:rFonts w:hint="eastAsia"/>
          <w:lang w:val="en-US" w:eastAsia="zh-CN"/>
        </w:rPr>
        <w:t xml:space="preserve">DL-PRS hopping </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bCs/>
          <w:iCs/>
          <w:sz w:val="20"/>
          <w:szCs w:val="20"/>
          <w:lang w:val="en-US" w:eastAsia="zh-CN"/>
        </w:rPr>
      </w:pPr>
      <w:r>
        <w:rPr>
          <w:rFonts w:hint="eastAsia" w:ascii="Times New Roman" w:hAnsi="Times New Roman"/>
          <w:bCs/>
          <w:iCs/>
          <w:sz w:val="20"/>
          <w:szCs w:val="20"/>
          <w:lang w:val="en-US" w:eastAsia="zh-CN"/>
        </w:rPr>
        <w:t>RAN1#112 has confirmed to support frequency hopping of positioning PRS as follows: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rFonts w:hint="default" w:ascii="Times New Roman" w:hAnsi="Times New Roman" w:cs="Times New Roman"/>
                <w:b/>
                <w:bCs/>
                <w:sz w:val="20"/>
                <w:szCs w:val="20"/>
                <w:lang w:eastAsia="ja-JP"/>
              </w:rPr>
            </w:pPr>
            <w:r>
              <w:rPr>
                <w:rFonts w:hint="default" w:ascii="Times New Roman" w:hAnsi="Times New Roman" w:cs="Times New Roman"/>
                <w:b/>
                <w:bCs/>
                <w:sz w:val="20"/>
                <w:szCs w:val="20"/>
                <w:highlight w:val="green"/>
                <w:lang w:eastAsia="ja-JP"/>
              </w:rPr>
              <w:t>Agreement</w:t>
            </w:r>
          </w:p>
          <w:p>
            <w:pPr>
              <w:rPr>
                <w:rFonts w:hint="default" w:ascii="Times New Roman" w:hAnsi="Times New Roman" w:cs="Times New Roman"/>
                <w:bCs/>
                <w:sz w:val="20"/>
                <w:szCs w:val="18"/>
                <w:lang w:eastAsia="ja-JP"/>
              </w:rPr>
            </w:pPr>
            <w:r>
              <w:rPr>
                <w:rFonts w:hint="default" w:ascii="Times New Roman" w:hAnsi="Times New Roman" w:cs="Times New Roman"/>
                <w:bCs/>
                <w:sz w:val="20"/>
                <w:szCs w:val="18"/>
                <w:lang w:eastAsia="ja-JP"/>
              </w:rPr>
              <w:t>For positioning for RedCap UEs with DL PRS Rx Hopping, the UE hops within a DL PRS resource</w:t>
            </w:r>
          </w:p>
          <w:p>
            <w:pPr>
              <w:numPr>
                <w:ilvl w:val="0"/>
                <w:numId w:val="8"/>
              </w:numPr>
              <w:snapToGrid w:val="0"/>
              <w:ind w:hanging="363"/>
              <w:contextualSpacing/>
              <w:jc w:val="both"/>
              <w:rPr>
                <w:rFonts w:hint="default" w:ascii="Times New Roman" w:hAnsi="Times New Roman" w:cs="Times New Roman"/>
                <w:bCs/>
                <w:iCs/>
                <w:sz w:val="20"/>
                <w:szCs w:val="18"/>
                <w:lang w:eastAsia="ja-JP"/>
              </w:rPr>
            </w:pPr>
            <w:r>
              <w:rPr>
                <w:rFonts w:hint="default" w:ascii="Times New Roman" w:hAnsi="Times New Roman" w:cs="Times New Roman"/>
                <w:bCs/>
                <w:iCs/>
                <w:sz w:val="20"/>
                <w:szCs w:val="18"/>
                <w:lang w:eastAsia="ja-JP"/>
              </w:rPr>
              <w:t>FFS: whether there is specification update needed for RAN1</w:t>
            </w:r>
          </w:p>
          <w:p>
            <w:pPr>
              <w:numPr>
                <w:ilvl w:val="0"/>
                <w:numId w:val="8"/>
              </w:numPr>
              <w:snapToGrid w:val="0"/>
              <w:ind w:hanging="363"/>
              <w:contextualSpacing/>
              <w:jc w:val="both"/>
              <w:rPr>
                <w:rFonts w:hint="default"/>
                <w:sz w:val="22"/>
                <w:szCs w:val="24"/>
                <w:vertAlign w:val="baseline"/>
                <w:lang w:val="en-US" w:eastAsia="zh-CN"/>
              </w:rPr>
            </w:pPr>
            <w:r>
              <w:rPr>
                <w:rFonts w:hint="default" w:ascii="Times New Roman" w:hAnsi="Times New Roman" w:cs="Times New Roman"/>
                <w:bCs/>
                <w:iCs/>
                <w:sz w:val="20"/>
                <w:szCs w:val="18"/>
                <w:lang w:eastAsia="ja-JP"/>
              </w:rPr>
              <w:t xml:space="preserve">FFS: remaining details </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RAN1 confirms that hopping is performed at receiver side. For PRS, the gNB sends PRS with a normal bandwidth, meanwhile at UE side, t</w:t>
      </w:r>
      <w:r>
        <w:rPr>
          <w:rFonts w:hint="default" w:ascii="Times New Roman" w:hAnsi="Times New Roman" w:cs="Times New Roman"/>
          <w:sz w:val="20"/>
          <w:szCs w:val="20"/>
          <w:lang w:val="en-US" w:eastAsia="zh-CN"/>
        </w:rPr>
        <w:t xml:space="preserve">he frequency </w:t>
      </w:r>
      <w:r>
        <w:rPr>
          <w:rFonts w:hint="eastAsia" w:ascii="Times New Roman" w:hAnsi="Times New Roman" w:cs="Times New Roman"/>
          <w:sz w:val="20"/>
          <w:szCs w:val="20"/>
          <w:lang w:val="en-US" w:eastAsia="zh-CN"/>
        </w:rPr>
        <w:t xml:space="preserve">domain </w:t>
      </w:r>
      <w:r>
        <w:rPr>
          <w:rFonts w:hint="default" w:ascii="Times New Roman" w:hAnsi="Times New Roman" w:cs="Times New Roman"/>
          <w:sz w:val="20"/>
          <w:szCs w:val="20"/>
          <w:lang w:val="en-US" w:eastAsia="zh-CN"/>
        </w:rPr>
        <w:t xml:space="preserve">resource of </w:t>
      </w:r>
      <w:r>
        <w:rPr>
          <w:rFonts w:hint="eastAsia" w:ascii="Times New Roman" w:hAnsi="Times New Roman" w:cs="Times New Roman"/>
          <w:sz w:val="20"/>
          <w:szCs w:val="20"/>
          <w:lang w:val="en-US" w:eastAsia="zh-CN"/>
        </w:rPr>
        <w:t xml:space="preserve">receiving </w:t>
      </w:r>
      <w:r>
        <w:rPr>
          <w:rFonts w:hint="default" w:ascii="Times New Roman" w:hAnsi="Times New Roman" w:cs="Times New Roman"/>
          <w:sz w:val="20"/>
          <w:szCs w:val="20"/>
          <w:lang w:val="en-US" w:eastAsia="zh-CN"/>
        </w:rPr>
        <w:t xml:space="preserve">one </w:t>
      </w:r>
      <w:r>
        <w:rPr>
          <w:rFonts w:hint="eastAsia" w:ascii="Times New Roman" w:hAnsi="Times New Roman" w:cs="Times New Roman"/>
          <w:sz w:val="20"/>
          <w:szCs w:val="20"/>
          <w:lang w:val="en-US" w:eastAsia="zh-CN"/>
        </w:rPr>
        <w:t>PRS</w:t>
      </w:r>
      <w:r>
        <w:rPr>
          <w:rFonts w:hint="default" w:ascii="Times New Roman" w:hAnsi="Times New Roman" w:cs="Times New Roman"/>
          <w:sz w:val="20"/>
          <w:szCs w:val="20"/>
          <w:lang w:val="en-US" w:eastAsia="zh-CN"/>
        </w:rPr>
        <w:t xml:space="preserve"> is d</w:t>
      </w:r>
      <w:r>
        <w:rPr>
          <w:rFonts w:hint="eastAsia" w:ascii="Times New Roman" w:hAnsi="Times New Roman" w:cs="Times New Roman"/>
          <w:sz w:val="20"/>
          <w:szCs w:val="20"/>
          <w:lang w:val="en-US" w:eastAsia="zh-CN"/>
        </w:rPr>
        <w:t>ivided</w:t>
      </w:r>
      <w:r>
        <w:rPr>
          <w:rFonts w:hint="default" w:ascii="Times New Roman" w:hAnsi="Times New Roman" w:cs="Times New Roman"/>
          <w:sz w:val="20"/>
          <w:szCs w:val="20"/>
          <w:lang w:val="en-US" w:eastAsia="zh-CN"/>
        </w:rPr>
        <w:t xml:space="preserve"> into several parts, </w:t>
      </w:r>
      <w:r>
        <w:rPr>
          <w:rFonts w:hint="eastAsia" w:ascii="Times New Roman" w:hAnsi="Times New Roman" w:cs="Times New Roman"/>
          <w:sz w:val="20"/>
          <w:szCs w:val="20"/>
          <w:lang w:val="en-US" w:eastAsia="zh-CN"/>
        </w:rPr>
        <w:t>each part corresponds to a frequency hop, and several hops are received in different time periods, respectively. There are 2 cases of PRS repetition:</w:t>
      </w:r>
    </w:p>
    <w:p>
      <w:pPr>
        <w:keepNext w:val="0"/>
        <w:keepLines w:val="0"/>
        <w:pageBreakBefore w:val="0"/>
        <w:widowControl w:val="0"/>
        <w:numPr>
          <w:ilvl w:val="0"/>
          <w:numId w:val="11"/>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If a PRS is inter-slot repeated with a repetition factor, UE should receive different frequency parts per slot per repetition instance; </w:t>
      </w:r>
    </w:p>
    <w:p>
      <w:pPr>
        <w:keepNext w:val="0"/>
        <w:keepLines w:val="0"/>
        <w:pageBreakBefore w:val="0"/>
        <w:widowControl w:val="0"/>
        <w:numPr>
          <w:ilvl w:val="0"/>
          <w:numId w:val="11"/>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If a PRS is intra-slot configured and PRS symbol is larger than PRS comb size, the PRS is actually per comb-size-symbol repeated within a slot, UE should receive different frequency parts per per comb-size-symbol of a PRS resource within a slot.</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the above 2 cases, RedCap UE can use on-demand PRS request to request hopping. Currently on-demand PRS request contains PRS bandwidth, PRS repetition factor, PRS symbol and PRS comb size. We think these IEs (and the value ranges of these IEs) are enough for RedCap UE to indicate NW of PRS reception hopping, for example, since NW knows the RedCap UE identity and the maximum bandwidth it supports, then the requested PRS repetition factor implies the number of inter-slot Rx hopping, and the requested PRS comb size and PRS symbols imply the number of intra-slot Rx hopping.</w:t>
      </w:r>
      <w:bookmarkStart w:id="8" w:name="_GoBack"/>
      <w:bookmarkEnd w:id="8"/>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Proposal 5: RedCap UE can use on-demand PRS procedure to request Rx PRS hopping without additional specification impact in RAN2.</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lang w:val="en-US" w:eastAsia="zh-CN"/>
        </w:rPr>
      </w:pPr>
      <w:r>
        <w:rPr>
          <w:rFonts w:hint="eastAsia"/>
          <w:lang w:val="en-US" w:eastAsia="zh-CN"/>
        </w:rPr>
        <w:t xml:space="preserve">UL-SRS hopping </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hint="default" w:ascii="Times New Roman" w:hAnsi="Times New Roman"/>
          <w:b/>
          <w:bCs/>
          <w:i/>
          <w:iCs/>
          <w:sz w:val="20"/>
          <w:szCs w:val="20"/>
          <w:lang w:val="en-US" w:eastAsia="zh-CN"/>
        </w:rPr>
      </w:pPr>
      <w:r>
        <w:rPr>
          <w:rFonts w:hint="eastAsia" w:ascii="Times New Roman" w:hAnsi="Times New Roman"/>
          <w:bCs/>
          <w:iCs/>
          <w:sz w:val="20"/>
          <w:szCs w:val="20"/>
          <w:lang w:val="en-US" w:eastAsia="zh-CN"/>
        </w:rPr>
        <w:t>RAN1#112 has confirmed to support frequency hopping of positioning SRS as follows: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rFonts w:hint="default" w:ascii="Times New Roman" w:hAnsi="Times New Roman" w:cs="Times New Roman"/>
                <w:b/>
                <w:bCs/>
                <w:sz w:val="20"/>
                <w:szCs w:val="20"/>
                <w:lang w:eastAsia="ja-JP"/>
              </w:rPr>
            </w:pPr>
            <w:r>
              <w:rPr>
                <w:rFonts w:hint="default" w:ascii="Times New Roman" w:hAnsi="Times New Roman" w:cs="Times New Roman"/>
                <w:b/>
                <w:bCs/>
                <w:sz w:val="20"/>
                <w:szCs w:val="20"/>
                <w:highlight w:val="green"/>
                <w:lang w:eastAsia="ja-JP"/>
              </w:rPr>
              <w:t>Agreement</w:t>
            </w:r>
          </w:p>
          <w:p>
            <w:pPr>
              <w:rPr>
                <w:rFonts w:hint="default" w:ascii="Times New Roman" w:hAnsi="Times New Roman" w:cs="Times New Roman"/>
                <w:bCs/>
                <w:sz w:val="20"/>
                <w:szCs w:val="20"/>
                <w:lang w:eastAsia="ja-JP"/>
              </w:rPr>
            </w:pPr>
            <w:r>
              <w:rPr>
                <w:rFonts w:hint="default" w:ascii="Times New Roman" w:hAnsi="Times New Roman" w:cs="Times New Roman"/>
                <w:bCs/>
                <w:sz w:val="20"/>
                <w:szCs w:val="20"/>
                <w:lang w:eastAsia="ja-JP"/>
              </w:rPr>
              <w:t xml:space="preserve">For RedCap UEs, support SRS for positioning frequency hopping by </w:t>
            </w:r>
          </w:p>
          <w:p>
            <w:pPr>
              <w:pStyle w:val="68"/>
              <w:numPr>
                <w:ilvl w:val="0"/>
                <w:numId w:val="12"/>
              </w:numPr>
              <w:ind w:leftChars="0"/>
              <w:rPr>
                <w:rFonts w:hint="default" w:ascii="Times New Roman" w:hAnsi="Times New Roman" w:cs="Times New Roman"/>
                <w:bCs/>
                <w:sz w:val="20"/>
                <w:szCs w:val="20"/>
                <w:lang w:val="en-US" w:eastAsia="ja-JP"/>
              </w:rPr>
            </w:pPr>
            <w:r>
              <w:rPr>
                <w:rFonts w:hint="default" w:ascii="Times New Roman" w:hAnsi="Times New Roman" w:cs="Times New Roman"/>
                <w:bCs/>
                <w:sz w:val="20"/>
                <w:szCs w:val="20"/>
                <w:lang w:val="en-US" w:eastAsia="ja-JP"/>
              </w:rPr>
              <w:t>Using a configuration separate from the existing BWP configuration</w:t>
            </w:r>
          </w:p>
          <w:p>
            <w:pPr>
              <w:pStyle w:val="68"/>
              <w:numPr>
                <w:ilvl w:val="1"/>
                <w:numId w:val="12"/>
              </w:numPr>
              <w:ind w:leftChars="0"/>
              <w:rPr>
                <w:rFonts w:hint="default" w:ascii="Times New Roman" w:hAnsi="Times New Roman"/>
                <w:b/>
                <w:bCs/>
                <w:i/>
                <w:iCs/>
                <w:sz w:val="20"/>
                <w:szCs w:val="20"/>
                <w:vertAlign w:val="baseline"/>
                <w:lang w:val="en-US" w:eastAsia="zh-CN"/>
              </w:rPr>
            </w:pPr>
            <w:r>
              <w:rPr>
                <w:rFonts w:hint="default" w:ascii="Times New Roman" w:hAnsi="Times New Roman" w:cs="Times New Roman"/>
                <w:bCs/>
                <w:sz w:val="20"/>
                <w:szCs w:val="20"/>
                <w:lang w:val="en-US" w:eastAsia="ja-JP"/>
              </w:rPr>
              <w:t>FFS: hopping is configured within a SRS resource or across SRS resources</w:t>
            </w:r>
          </w:p>
        </w:tc>
      </w:tr>
    </w:tbl>
    <w:p>
      <w:pPr>
        <w:widowControl w:val="0"/>
        <w:snapToGrid w:val="0"/>
        <w:spacing w:after="180" w:afterLines="50" w:line="240" w:lineRule="auto"/>
        <w:jc w:val="both"/>
        <w:rPr>
          <w:rFonts w:ascii="Times New Roman" w:hAnsi="Times New Roman"/>
          <w:sz w:val="20"/>
          <w:szCs w:val="20"/>
        </w:rPr>
      </w:pPr>
      <w:r>
        <w:rPr>
          <w:rFonts w:hint="eastAsia" w:ascii="Times New Roman" w:hAnsi="Times New Roman"/>
          <w:sz w:val="20"/>
          <w:szCs w:val="20"/>
        </w:rPr>
        <w:t xml:space="preserve">For positioning </w:t>
      </w:r>
      <w:r>
        <w:rPr>
          <w:rFonts w:ascii="Times New Roman" w:hAnsi="Times New Roman"/>
          <w:sz w:val="20"/>
          <w:szCs w:val="20"/>
        </w:rPr>
        <w:t>S</w:t>
      </w:r>
      <w:r>
        <w:rPr>
          <w:rFonts w:hint="eastAsia" w:ascii="Times New Roman" w:hAnsi="Times New Roman"/>
          <w:sz w:val="20"/>
          <w:szCs w:val="20"/>
        </w:rPr>
        <w:t xml:space="preserve">RS hopping for RedCap UE, </w:t>
      </w:r>
      <w:r>
        <w:rPr>
          <w:rFonts w:hint="eastAsia" w:ascii="Times New Roman" w:hAnsi="Times New Roman" w:eastAsia="宋体"/>
          <w:kern w:val="2"/>
          <w:sz w:val="20"/>
          <w:szCs w:val="20"/>
        </w:rPr>
        <w:t xml:space="preserve">there are </w:t>
      </w:r>
      <w:r>
        <w:rPr>
          <w:rFonts w:ascii="Times New Roman" w:hAnsi="Times New Roman" w:eastAsia="宋体"/>
          <w:kern w:val="2"/>
          <w:sz w:val="20"/>
          <w:szCs w:val="20"/>
        </w:rPr>
        <w:t>two</w:t>
      </w:r>
      <w:r>
        <w:rPr>
          <w:rFonts w:hint="eastAsia" w:ascii="Times New Roman" w:hAnsi="Times New Roman" w:eastAsia="宋体"/>
          <w:kern w:val="2"/>
          <w:sz w:val="20"/>
          <w:szCs w:val="20"/>
        </w:rPr>
        <w:t xml:space="preserve"> candidate solutions </w:t>
      </w:r>
      <w:r>
        <w:rPr>
          <w:rFonts w:ascii="Times New Roman" w:hAnsi="Times New Roman" w:eastAsia="宋体"/>
          <w:kern w:val="2"/>
          <w:sz w:val="20"/>
          <w:szCs w:val="20"/>
        </w:rPr>
        <w:t>as shown in the FFS part in the above agreement</w:t>
      </w:r>
      <w:r>
        <w:rPr>
          <w:rFonts w:hint="eastAsia" w:ascii="Times New Roman" w:hAnsi="Times New Roman" w:eastAsia="宋体"/>
          <w:kern w:val="2"/>
          <w:sz w:val="20"/>
          <w:szCs w:val="20"/>
        </w:rPr>
        <w:t>:</w:t>
      </w:r>
    </w:p>
    <w:p>
      <w:pPr>
        <w:pStyle w:val="68"/>
        <w:widowControl w:val="0"/>
        <w:numPr>
          <w:ilvl w:val="0"/>
          <w:numId w:val="13"/>
        </w:numPr>
        <w:snapToGrid w:val="0"/>
        <w:spacing w:afterLines="50" w:line="240" w:lineRule="auto"/>
        <w:ind w:left="-60" w:leftChars="0"/>
        <w:jc w:val="both"/>
        <w:rPr>
          <w:rFonts w:hint="eastAsia" w:ascii="Times New Roman" w:hAnsi="Times New Roman" w:cs="Times New Roman" w:eastAsiaTheme="minorEastAsia"/>
          <w:kern w:val="2"/>
          <w:sz w:val="20"/>
          <w:szCs w:val="20"/>
          <w:lang w:val="en-GB" w:eastAsia="en-GB" w:bidi="ar-SA"/>
        </w:rPr>
      </w:pPr>
      <w:r>
        <w:rPr>
          <w:rFonts w:hint="eastAsia" w:ascii="Times New Roman" w:hAnsi="Times New Roman" w:cs="Times New Roman" w:eastAsiaTheme="minorEastAsia"/>
          <w:kern w:val="2"/>
          <w:sz w:val="20"/>
          <w:szCs w:val="20"/>
          <w:lang w:val="en-GB" w:eastAsia="en-GB" w:bidi="ar-SA"/>
        </w:rPr>
        <w:t>Frequency hopping within one resource</w:t>
      </w:r>
    </w:p>
    <w:p>
      <w:pPr>
        <w:pStyle w:val="68"/>
        <w:widowControl w:val="0"/>
        <w:numPr>
          <w:ilvl w:val="0"/>
          <w:numId w:val="13"/>
        </w:numPr>
        <w:snapToGrid w:val="0"/>
        <w:spacing w:afterLines="50" w:line="240" w:lineRule="auto"/>
        <w:ind w:left="-60" w:leftChars="0"/>
        <w:jc w:val="both"/>
        <w:rPr>
          <w:rFonts w:hint="eastAsia" w:ascii="Times New Roman" w:hAnsi="Times New Roman" w:cs="Times New Roman" w:eastAsiaTheme="minorEastAsia"/>
          <w:kern w:val="2"/>
          <w:sz w:val="20"/>
          <w:szCs w:val="20"/>
          <w:lang w:val="en-GB" w:eastAsia="en-GB" w:bidi="ar-SA"/>
        </w:rPr>
      </w:pPr>
      <w:r>
        <w:rPr>
          <w:rFonts w:hint="eastAsia" w:ascii="Times New Roman" w:hAnsi="Times New Roman" w:cs="Times New Roman" w:eastAsiaTheme="minorEastAsia"/>
          <w:kern w:val="2"/>
          <w:sz w:val="20"/>
          <w:szCs w:val="20"/>
          <w:lang w:val="en-GB" w:eastAsia="en-GB" w:bidi="ar-SA"/>
        </w:rPr>
        <w:t>Frequency hopping within one resource set (across resources)</w:t>
      </w:r>
    </w:p>
    <w:p>
      <w:pPr>
        <w:widowControl w:val="0"/>
        <w:adjustRightInd w:val="0"/>
        <w:snapToGrid w:val="0"/>
        <w:spacing w:before="180" w:beforeLines="50" w:after="180" w:afterLines="50"/>
        <w:jc w:val="both"/>
        <w:rPr>
          <w:rFonts w:ascii="Times New Roman" w:hAnsi="Times New Roman" w:eastAsia="宋体"/>
          <w:kern w:val="2"/>
          <w:sz w:val="20"/>
          <w:szCs w:val="20"/>
        </w:rPr>
      </w:pPr>
      <w:r>
        <w:rPr>
          <w:rFonts w:ascii="Times New Roman" w:hAnsi="Times New Roman" w:eastAsia="宋体"/>
          <w:kern w:val="2"/>
          <w:sz w:val="20"/>
          <w:szCs w:val="20"/>
        </w:rPr>
        <w:t xml:space="preserve">In our view, both solutions are workable to support SRS frequency hopping for positioning. However, solution 1, i.e. SRS hopping within one resource may have less flexibility since the current </w:t>
      </w:r>
      <w:r>
        <w:rPr>
          <w:rFonts w:hint="eastAsia" w:ascii="Times New Roman" w:hAnsi="Times New Roman" w:eastAsia="宋体"/>
          <w:kern w:val="2"/>
          <w:sz w:val="20"/>
          <w:szCs w:val="20"/>
          <w:lang w:val="en-US" w:eastAsia="zh-CN"/>
        </w:rPr>
        <w:t xml:space="preserve">positioning </w:t>
      </w:r>
      <w:r>
        <w:rPr>
          <w:rFonts w:ascii="Times New Roman" w:hAnsi="Times New Roman" w:eastAsia="宋体"/>
          <w:kern w:val="2"/>
          <w:sz w:val="20"/>
          <w:szCs w:val="20"/>
        </w:rPr>
        <w:t>SRS configuration for each resource is only limited to one slot, and then the</w:t>
      </w:r>
      <w:r>
        <w:rPr>
          <w:rFonts w:hint="eastAsia" w:ascii="Times New Roman" w:hAnsi="Times New Roman" w:eastAsia="宋体"/>
          <w:kern w:val="2"/>
          <w:sz w:val="20"/>
          <w:szCs w:val="20"/>
          <w:lang w:val="en-US" w:eastAsia="zh-CN"/>
        </w:rPr>
        <w:t xml:space="preserve"> positioning</w:t>
      </w:r>
      <w:r>
        <w:rPr>
          <w:rFonts w:ascii="Times New Roman" w:hAnsi="Times New Roman" w:eastAsia="宋体"/>
          <w:kern w:val="2"/>
          <w:sz w:val="20"/>
          <w:szCs w:val="20"/>
        </w:rPr>
        <w:t xml:space="preserve"> SRS hopping is limited to intra-slot hopping case only. So we slightly prefer solution 2, i.e. frequency hopping across</w:t>
      </w:r>
      <w:r>
        <w:rPr>
          <w:rFonts w:hint="eastAsia" w:ascii="Times New Roman" w:hAnsi="Times New Roman" w:eastAsia="宋体"/>
          <w:kern w:val="2"/>
          <w:sz w:val="20"/>
          <w:szCs w:val="20"/>
          <w:lang w:val="en-US" w:eastAsia="zh-CN"/>
        </w:rPr>
        <w:t xml:space="preserve"> positioning</w:t>
      </w:r>
      <w:r>
        <w:rPr>
          <w:rFonts w:ascii="Times New Roman" w:hAnsi="Times New Roman" w:eastAsia="宋体"/>
          <w:kern w:val="2"/>
          <w:sz w:val="20"/>
          <w:szCs w:val="20"/>
        </w:rPr>
        <w:t xml:space="preserve"> SRS resources.  </w:t>
      </w:r>
    </w:p>
    <w:p>
      <w:pPr>
        <w:widowControl w:val="0"/>
        <w:adjustRightInd w:val="0"/>
        <w:snapToGrid w:val="0"/>
        <w:spacing w:after="180" w:afterLines="50" w:line="240" w:lineRule="auto"/>
        <w:jc w:val="both"/>
        <w:rPr>
          <w:rFonts w:ascii="Times New Roman" w:hAnsi="Times New Roman" w:eastAsia="宋体"/>
          <w:b/>
          <w:bCs/>
          <w:i/>
          <w:iCs/>
          <w:kern w:val="2"/>
          <w:sz w:val="20"/>
          <w:szCs w:val="20"/>
        </w:rPr>
      </w:pPr>
      <w:r>
        <w:rPr>
          <w:rFonts w:hint="eastAsia" w:ascii="Times New Roman" w:hAnsi="Times New Roman" w:eastAsia="宋体"/>
          <w:b/>
          <w:bCs/>
          <w:i/>
          <w:iCs/>
          <w:kern w:val="2"/>
          <w:sz w:val="20"/>
          <w:szCs w:val="20"/>
        </w:rPr>
        <w:t xml:space="preserve">Proposal </w:t>
      </w:r>
      <w:r>
        <w:rPr>
          <w:rFonts w:hint="eastAsia" w:ascii="Times New Roman" w:hAnsi="Times New Roman" w:eastAsia="宋体"/>
          <w:b/>
          <w:bCs/>
          <w:i/>
          <w:iCs/>
          <w:kern w:val="2"/>
          <w:sz w:val="20"/>
          <w:szCs w:val="20"/>
          <w:lang w:val="en-US" w:eastAsia="zh-CN"/>
        </w:rPr>
        <w:t>6</w:t>
      </w:r>
      <w:r>
        <w:rPr>
          <w:rFonts w:hint="eastAsia" w:ascii="Times New Roman" w:hAnsi="Times New Roman" w:eastAsia="宋体"/>
          <w:b/>
          <w:bCs/>
          <w:i/>
          <w:iCs/>
          <w:kern w:val="2"/>
          <w:sz w:val="20"/>
          <w:szCs w:val="20"/>
        </w:rPr>
        <w:t>: For RedCap UE,</w:t>
      </w:r>
      <w:r>
        <w:rPr>
          <w:rFonts w:ascii="Times New Roman" w:hAnsi="Times New Roman" w:eastAsia="宋体"/>
          <w:b/>
          <w:bCs/>
          <w:i/>
          <w:iCs/>
          <w:kern w:val="2"/>
          <w:sz w:val="20"/>
          <w:szCs w:val="20"/>
        </w:rPr>
        <w:t xml:space="preserve"> Support frequency hopping across </w:t>
      </w:r>
      <w:r>
        <w:rPr>
          <w:rFonts w:hint="eastAsia" w:ascii="Times New Roman" w:hAnsi="Times New Roman" w:eastAsia="宋体"/>
          <w:b/>
          <w:bCs/>
          <w:i/>
          <w:iCs/>
          <w:kern w:val="2"/>
          <w:sz w:val="20"/>
          <w:szCs w:val="20"/>
          <w:lang w:val="en-US" w:eastAsia="zh-CN"/>
        </w:rPr>
        <w:t xml:space="preserve">positioning </w:t>
      </w:r>
      <w:r>
        <w:rPr>
          <w:rFonts w:ascii="Times New Roman" w:hAnsi="Times New Roman" w:eastAsia="宋体"/>
          <w:b/>
          <w:bCs/>
          <w:i/>
          <w:iCs/>
          <w:kern w:val="2"/>
          <w:sz w:val="20"/>
          <w:szCs w:val="20"/>
        </w:rPr>
        <w:t>SRS resources.</w:t>
      </w:r>
    </w:p>
    <w:p>
      <w:pPr>
        <w:widowControl w:val="0"/>
        <w:adjustRightInd w:val="0"/>
        <w:snapToGrid w:val="0"/>
        <w:spacing w:after="180" w:afterLines="50" w:line="240" w:lineRule="auto"/>
        <w:jc w:val="both"/>
        <w:rPr>
          <w:rFonts w:hint="eastAsia" w:ascii="Times New Roman" w:hAnsi="Times New Roman" w:eastAsia="宋体"/>
          <w:kern w:val="2"/>
          <w:sz w:val="20"/>
          <w:szCs w:val="20"/>
          <w:lang w:val="en-US" w:eastAsia="zh-CN"/>
        </w:rPr>
      </w:pPr>
      <w:r>
        <w:rPr>
          <w:rFonts w:hint="eastAsia" w:ascii="Times New Roman" w:hAnsi="Times New Roman"/>
          <w:sz w:val="20"/>
          <w:szCs w:val="20"/>
        </w:rPr>
        <w:t xml:space="preserve">For positioning </w:t>
      </w:r>
      <w:r>
        <w:rPr>
          <w:rFonts w:ascii="Times New Roman" w:hAnsi="Times New Roman"/>
          <w:sz w:val="20"/>
          <w:szCs w:val="20"/>
        </w:rPr>
        <w:t>S</w:t>
      </w:r>
      <w:r>
        <w:rPr>
          <w:rFonts w:hint="eastAsia" w:ascii="Times New Roman" w:hAnsi="Times New Roman"/>
          <w:sz w:val="20"/>
          <w:szCs w:val="20"/>
        </w:rPr>
        <w:t xml:space="preserve">RS hopping, </w:t>
      </w:r>
      <w:r>
        <w:rPr>
          <w:rFonts w:hint="eastAsia" w:ascii="Times New Roman" w:hAnsi="Times New Roman" w:eastAsia="宋体"/>
          <w:kern w:val="2"/>
          <w:sz w:val="20"/>
          <w:szCs w:val="20"/>
          <w:lang w:val="en-US" w:eastAsia="zh-CN"/>
        </w:rPr>
        <w:t>RAN1</w:t>
      </w:r>
      <w:r>
        <w:rPr>
          <w:rFonts w:hint="default" w:ascii="Times New Roman" w:hAnsi="Times New Roman" w:eastAsia="宋体"/>
          <w:kern w:val="2"/>
          <w:sz w:val="20"/>
          <w:szCs w:val="20"/>
          <w:lang w:val="en-US" w:eastAsia="zh-CN"/>
        </w:rPr>
        <w:t>’</w:t>
      </w:r>
      <w:r>
        <w:rPr>
          <w:rFonts w:hint="eastAsia" w:ascii="Times New Roman" w:hAnsi="Times New Roman" w:eastAsia="宋体"/>
          <w:kern w:val="2"/>
          <w:sz w:val="20"/>
          <w:szCs w:val="20"/>
          <w:lang w:val="en-US" w:eastAsia="zh-CN"/>
        </w:rPr>
        <w:t xml:space="preserve">s consensus is not to use BWP switching to perform hopping because of latency consideration. From signaling configuration view, the SRS for RedCap UE Tx hopping can be configured as a new SRS configuration within the legacy </w:t>
      </w:r>
      <w:r>
        <w:rPr>
          <w:rFonts w:hint="eastAsia" w:ascii="Times New Roman" w:hAnsi="Times New Roman" w:eastAsia="宋体"/>
          <w:i/>
          <w:iCs/>
          <w:kern w:val="2"/>
          <w:sz w:val="20"/>
          <w:szCs w:val="20"/>
          <w:lang w:val="en-US" w:eastAsia="zh-CN"/>
        </w:rPr>
        <w:t>SRS-Config</w:t>
      </w:r>
      <w:r>
        <w:rPr>
          <w:rFonts w:hint="eastAsia" w:ascii="Times New Roman" w:hAnsi="Times New Roman" w:eastAsia="宋体"/>
          <w:kern w:val="2"/>
          <w:sz w:val="20"/>
          <w:szCs w:val="20"/>
          <w:lang w:val="en-US" w:eastAsia="zh-CN"/>
        </w:rPr>
        <w:t xml:space="preserve"> IE. The new SRS configuration should have the new bandwidth which is larger than the current BWP. </w:t>
      </w:r>
    </w:p>
    <w:p>
      <w:pPr>
        <w:widowControl w:val="0"/>
        <w:adjustRightInd w:val="0"/>
        <w:snapToGrid w:val="0"/>
        <w:spacing w:after="180" w:afterLines="50" w:line="240" w:lineRule="auto"/>
        <w:jc w:val="both"/>
        <w:rPr>
          <w:rFonts w:hint="eastAsia" w:ascii="Times New Roman" w:hAnsi="Times New Roman" w:eastAsiaTheme="minorEastAsia"/>
          <w:b/>
          <w:bCs/>
          <w:i/>
          <w:iCs/>
          <w:kern w:val="2"/>
          <w:sz w:val="20"/>
          <w:szCs w:val="20"/>
          <w:lang w:val="en-US" w:eastAsia="zh-CN"/>
        </w:rPr>
      </w:pPr>
      <w:r>
        <w:rPr>
          <w:rFonts w:hint="eastAsia" w:ascii="Times New Roman" w:hAnsi="Times New Roman" w:eastAsia="宋体"/>
          <w:b/>
          <w:bCs/>
          <w:i/>
          <w:iCs/>
          <w:kern w:val="2"/>
          <w:sz w:val="20"/>
          <w:szCs w:val="20"/>
          <w:lang w:val="en-US" w:eastAsia="zh-CN"/>
        </w:rPr>
        <w:t xml:space="preserve">Proposal 7: Support to configure a new SRS configuration within the legacy SRS-Config IE to indicate </w:t>
      </w:r>
      <w:r>
        <w:rPr>
          <w:rFonts w:ascii="Times New Roman" w:hAnsi="Times New Roman"/>
          <w:b/>
          <w:bCs/>
          <w:i/>
          <w:iCs/>
          <w:sz w:val="20"/>
          <w:szCs w:val="20"/>
        </w:rPr>
        <w:t>S</w:t>
      </w:r>
      <w:r>
        <w:rPr>
          <w:rFonts w:hint="eastAsia" w:ascii="Times New Roman" w:hAnsi="Times New Roman"/>
          <w:b/>
          <w:bCs/>
          <w:i/>
          <w:iCs/>
          <w:sz w:val="20"/>
          <w:szCs w:val="20"/>
        </w:rPr>
        <w:t>RS hopping</w:t>
      </w:r>
      <w:r>
        <w:rPr>
          <w:rFonts w:hint="eastAsia" w:ascii="Times New Roman" w:hAnsi="Times New Roman"/>
          <w:b/>
          <w:bCs/>
          <w:i/>
          <w:iCs/>
          <w:sz w:val="20"/>
          <w:szCs w:val="20"/>
          <w:lang w:val="en-US" w:eastAsia="zh-CN"/>
        </w:rPr>
        <w:t xml:space="preserve"> for </w:t>
      </w:r>
      <w:r>
        <w:rPr>
          <w:rFonts w:hint="eastAsia" w:ascii="Times New Roman" w:hAnsi="Times New Roman"/>
          <w:b/>
          <w:bCs/>
          <w:i/>
          <w:iCs/>
          <w:sz w:val="20"/>
          <w:szCs w:val="20"/>
        </w:rPr>
        <w:t>RedCap UE</w:t>
      </w:r>
      <w:r>
        <w:rPr>
          <w:rFonts w:hint="eastAsia" w:ascii="Times New Roman" w:hAnsi="Times New Roman"/>
          <w:b/>
          <w:bCs/>
          <w:i/>
          <w:iCs/>
          <w:sz w:val="20"/>
          <w:szCs w:val="20"/>
          <w:lang w:val="en-US" w:eastAsia="zh-CN"/>
        </w:rPr>
        <w:t>.</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In this section we provide the following proposals:</w:t>
      </w:r>
    </w:p>
    <w:p>
      <w:pPr>
        <w:snapToGrid w:val="0"/>
        <w:spacing w:before="180" w:beforeLines="50" w:after="180" w:afterLines="50" w:line="240" w:lineRule="auto"/>
        <w:rPr>
          <w:rFonts w:hint="eastAsia" w:ascii="Times New Roman" w:hAnsi="Times New Roman"/>
          <w:b/>
          <w:bCs w:val="0"/>
          <w:i/>
          <w:iCs w:val="0"/>
          <w:sz w:val="20"/>
          <w:szCs w:val="20"/>
          <w:lang w:val="en-US" w:eastAsia="zh-CN"/>
        </w:rPr>
      </w:pPr>
      <w:r>
        <w:rPr>
          <w:rFonts w:ascii="Times New Roman" w:hAnsi="Times New Roman"/>
          <w:b/>
          <w:bCs w:val="0"/>
          <w:i/>
          <w:iCs w:val="0"/>
          <w:sz w:val="20"/>
          <w:szCs w:val="20"/>
        </w:rPr>
        <w:t xml:space="preserve">Proposal </w:t>
      </w:r>
      <w:r>
        <w:rPr>
          <w:rFonts w:hint="eastAsia" w:ascii="Times New Roman" w:hAnsi="Times New Roman"/>
          <w:b/>
          <w:bCs w:val="0"/>
          <w:i/>
          <w:iCs w:val="0"/>
          <w:sz w:val="20"/>
          <w:szCs w:val="20"/>
          <w:lang w:val="en-US" w:eastAsia="zh-CN"/>
        </w:rPr>
        <w:t>1</w:t>
      </w:r>
      <w:r>
        <w:rPr>
          <w:rFonts w:ascii="Times New Roman" w:hAnsi="Times New Roman"/>
          <w:b/>
          <w:bCs w:val="0"/>
          <w:i/>
          <w:iCs w:val="0"/>
          <w:sz w:val="20"/>
          <w:szCs w:val="20"/>
        </w:rPr>
        <w:t xml:space="preserve">: For PRS bandwidth aggregation across PFLs, </w:t>
      </w:r>
      <w:r>
        <w:rPr>
          <w:rFonts w:hint="eastAsia" w:ascii="Times New Roman" w:hAnsi="Times New Roman"/>
          <w:b/>
          <w:bCs w:val="0"/>
          <w:i/>
          <w:iCs w:val="0"/>
          <w:sz w:val="20"/>
          <w:szCs w:val="20"/>
          <w:lang w:val="en-US" w:eastAsia="zh-CN"/>
        </w:rPr>
        <w:t>support new signaling to link PFLs and TRPs. FFS the detailed signaling structure.</w:t>
      </w:r>
    </w:p>
    <w:p>
      <w:pPr>
        <w:snapToGrid w:val="0"/>
        <w:spacing w:after="0" w:line="240" w:lineRule="auto"/>
        <w:jc w:val="both"/>
        <w:rPr>
          <w:rFonts w:hint="default" w:ascii="Times New Roman" w:hAnsi="Times New Roman" w:cs="Times New Roman"/>
          <w:b/>
          <w:bCs w:val="0"/>
          <w:i/>
          <w:sz w:val="20"/>
          <w:szCs w:val="20"/>
        </w:rPr>
      </w:pPr>
      <w:r>
        <w:rPr>
          <w:rFonts w:ascii="Times New Roman" w:hAnsi="Times New Roman"/>
          <w:b/>
          <w:bCs w:val="0"/>
          <w:i/>
          <w:sz w:val="20"/>
          <w:szCs w:val="20"/>
        </w:rPr>
        <w:t xml:space="preserve">Proposal </w:t>
      </w:r>
      <w:r>
        <w:rPr>
          <w:rFonts w:hint="eastAsia" w:ascii="Times New Roman" w:hAnsi="Times New Roman"/>
          <w:b/>
          <w:bCs w:val="0"/>
          <w:i/>
          <w:sz w:val="20"/>
          <w:szCs w:val="20"/>
          <w:lang w:val="en-US" w:eastAsia="zh-CN"/>
        </w:rPr>
        <w:t>2</w:t>
      </w:r>
      <w:r>
        <w:rPr>
          <w:rFonts w:hint="default" w:ascii="Times New Roman" w:hAnsi="Times New Roman" w:cs="Times New Roman"/>
          <w:b/>
          <w:bCs w:val="0"/>
          <w:i/>
          <w:sz w:val="20"/>
          <w:szCs w:val="20"/>
        </w:rPr>
        <w:t>: For UE-initiated on-demand PRS request for PRS bandwidth aggregation, support</w:t>
      </w:r>
    </w:p>
    <w:p>
      <w:pPr>
        <w:pStyle w:val="68"/>
        <w:numPr>
          <w:ilvl w:val="0"/>
          <w:numId w:val="10"/>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On-demand PRS configuration can include the group information where the linked on-demand PRS configuration IDs are in the same group for aggregation</w:t>
      </w:r>
    </w:p>
    <w:p>
      <w:pPr>
        <w:pStyle w:val="68"/>
        <w:numPr>
          <w:ilvl w:val="0"/>
          <w:numId w:val="10"/>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UE can request on-demand PRS configuration ID(s) or group ID(s)</w:t>
      </w:r>
    </w:p>
    <w:p>
      <w:pPr>
        <w:pStyle w:val="68"/>
        <w:numPr>
          <w:ilvl w:val="0"/>
          <w:numId w:val="10"/>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UE can request PRS bandwidth larger than that of a single PFL implying PRS bandwidth aggregation request</w:t>
      </w:r>
    </w:p>
    <w:p>
      <w:pPr>
        <w:pStyle w:val="68"/>
        <w:snapToGrid w:val="0"/>
        <w:spacing w:after="0" w:line="240" w:lineRule="auto"/>
        <w:jc w:val="both"/>
        <w:rPr>
          <w:rFonts w:hint="default" w:ascii="Times New Roman" w:hAnsi="Times New Roman" w:cs="Times New Roman"/>
          <w:b/>
          <w:bCs w:val="0"/>
          <w:i/>
          <w:sz w:val="20"/>
        </w:rPr>
      </w:pPr>
    </w:p>
    <w:p>
      <w:pPr>
        <w:snapToGrid w:val="0"/>
        <w:spacing w:after="0" w:line="240" w:lineRule="auto"/>
        <w:jc w:val="both"/>
        <w:rPr>
          <w:rFonts w:hint="default" w:ascii="Times New Roman" w:hAnsi="Times New Roman" w:cs="Times New Roman"/>
          <w:b/>
          <w:bCs w:val="0"/>
          <w:i/>
          <w:sz w:val="20"/>
          <w:szCs w:val="20"/>
        </w:rPr>
      </w:pPr>
      <w:r>
        <w:rPr>
          <w:rFonts w:hint="default" w:ascii="Times New Roman" w:hAnsi="Times New Roman" w:cs="Times New Roman"/>
          <w:b/>
          <w:bCs w:val="0"/>
          <w:i/>
          <w:sz w:val="20"/>
          <w:szCs w:val="20"/>
        </w:rPr>
        <w:t xml:space="preserve">Proposal </w:t>
      </w:r>
      <w:r>
        <w:rPr>
          <w:rFonts w:hint="eastAsia" w:ascii="Times New Roman" w:hAnsi="Times New Roman" w:cs="Times New Roman"/>
          <w:b/>
          <w:bCs w:val="0"/>
          <w:i/>
          <w:sz w:val="20"/>
          <w:szCs w:val="20"/>
          <w:lang w:val="en-US" w:eastAsia="zh-CN"/>
        </w:rPr>
        <w:t>3</w:t>
      </w:r>
      <w:r>
        <w:rPr>
          <w:rFonts w:hint="default" w:ascii="Times New Roman" w:hAnsi="Times New Roman" w:cs="Times New Roman"/>
          <w:b/>
          <w:bCs w:val="0"/>
          <w:i/>
          <w:sz w:val="20"/>
          <w:szCs w:val="20"/>
        </w:rPr>
        <w:t>: For LMF-initiated on-demand PRS request for PRS bandwidth aggregation, support</w:t>
      </w:r>
    </w:p>
    <w:p>
      <w:pPr>
        <w:pStyle w:val="68"/>
        <w:numPr>
          <w:ilvl w:val="0"/>
          <w:numId w:val="10"/>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LMF can request PRS bandwidth larger than that of a single PFL implying PRS bandwidth aggregation request</w:t>
      </w:r>
    </w:p>
    <w:p>
      <w:pPr>
        <w:pStyle w:val="68"/>
        <w:numPr>
          <w:ilvl w:val="0"/>
          <w:numId w:val="10"/>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 xml:space="preserve">Send an LS to RAN3 </w:t>
      </w:r>
    </w:p>
    <w:p>
      <w:pPr>
        <w:snapToGrid w:val="0"/>
        <w:spacing w:before="180" w:beforeLines="50" w:after="180" w:afterLines="50" w:line="240" w:lineRule="auto"/>
        <w:jc w:val="both"/>
        <w:rPr>
          <w:rFonts w:ascii="Times New Roman" w:hAnsi="Times New Roman"/>
          <w:b/>
          <w:bCs w:val="0"/>
          <w:i/>
          <w:iCs w:val="0"/>
          <w:sz w:val="20"/>
          <w:szCs w:val="20"/>
        </w:rPr>
      </w:pPr>
      <w:r>
        <w:rPr>
          <w:rFonts w:ascii="Times New Roman" w:hAnsi="Times New Roman"/>
          <w:b/>
          <w:bCs w:val="0"/>
          <w:i/>
          <w:iCs w:val="0"/>
          <w:sz w:val="20"/>
          <w:szCs w:val="20"/>
        </w:rPr>
        <w:t xml:space="preserve">Proposal </w:t>
      </w:r>
      <w:r>
        <w:rPr>
          <w:rFonts w:hint="eastAsia" w:ascii="Times New Roman" w:hAnsi="Times New Roman"/>
          <w:b/>
          <w:bCs w:val="0"/>
          <w:i/>
          <w:iCs w:val="0"/>
          <w:sz w:val="20"/>
          <w:szCs w:val="20"/>
          <w:lang w:val="en-US" w:eastAsia="zh-CN"/>
        </w:rPr>
        <w:t>4</w:t>
      </w:r>
      <w:r>
        <w:rPr>
          <w:rFonts w:ascii="Times New Roman" w:hAnsi="Times New Roman"/>
          <w:b/>
          <w:bCs w:val="0"/>
          <w:i/>
          <w:iCs w:val="0"/>
          <w:sz w:val="20"/>
          <w:szCs w:val="20"/>
        </w:rPr>
        <w:t>: For SRS bandwidth aggregation across carriers, support higher layer signaling to indicate which carriers are linked, where the SRS resources for positioning between the linked carriers are one-to-one mapping</w:t>
      </w:r>
      <w:r>
        <w:rPr>
          <w:rFonts w:hint="eastAsia" w:ascii="Times New Roman" w:hAnsi="Times New Roman"/>
          <w:b/>
          <w:bCs w:val="0"/>
          <w:i/>
          <w:iCs w:val="0"/>
          <w:sz w:val="20"/>
          <w:szCs w:val="20"/>
          <w:lang w:val="en-US" w:eastAsia="zh-CN"/>
        </w:rPr>
        <w:t>.</w:t>
      </w:r>
      <w:r>
        <w:rPr>
          <w:rFonts w:ascii="Times New Roman" w:hAnsi="Times New Roman"/>
          <w:b/>
          <w:bCs w:val="0"/>
          <w:i/>
          <w:iCs w:val="0"/>
          <w:sz w:val="20"/>
          <w:szCs w:val="20"/>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Proposal 5: RedCap UE can use on-demand PRS procedure to request Rx PRS hopping without additional specification impact in RAN2.</w:t>
      </w:r>
    </w:p>
    <w:p>
      <w:pPr>
        <w:widowControl w:val="0"/>
        <w:adjustRightInd w:val="0"/>
        <w:snapToGrid w:val="0"/>
        <w:spacing w:after="180" w:afterLines="50" w:line="240" w:lineRule="auto"/>
        <w:jc w:val="both"/>
        <w:rPr>
          <w:rFonts w:ascii="Times New Roman" w:hAnsi="Times New Roman" w:eastAsia="宋体"/>
          <w:b/>
          <w:bCs/>
          <w:i/>
          <w:iCs/>
          <w:kern w:val="2"/>
          <w:sz w:val="20"/>
          <w:szCs w:val="20"/>
        </w:rPr>
      </w:pPr>
      <w:r>
        <w:rPr>
          <w:rFonts w:hint="eastAsia" w:ascii="Times New Roman" w:hAnsi="Times New Roman" w:eastAsia="宋体"/>
          <w:b/>
          <w:bCs/>
          <w:i/>
          <w:iCs/>
          <w:kern w:val="2"/>
          <w:sz w:val="20"/>
          <w:szCs w:val="20"/>
        </w:rPr>
        <w:t xml:space="preserve">Proposal </w:t>
      </w:r>
      <w:r>
        <w:rPr>
          <w:rFonts w:hint="eastAsia" w:ascii="Times New Roman" w:hAnsi="Times New Roman" w:eastAsia="宋体"/>
          <w:b/>
          <w:bCs/>
          <w:i/>
          <w:iCs/>
          <w:kern w:val="2"/>
          <w:sz w:val="20"/>
          <w:szCs w:val="20"/>
          <w:lang w:val="en-US" w:eastAsia="zh-CN"/>
        </w:rPr>
        <w:t>6</w:t>
      </w:r>
      <w:r>
        <w:rPr>
          <w:rFonts w:hint="eastAsia" w:ascii="Times New Roman" w:hAnsi="Times New Roman" w:eastAsia="宋体"/>
          <w:b/>
          <w:bCs/>
          <w:i/>
          <w:iCs/>
          <w:kern w:val="2"/>
          <w:sz w:val="20"/>
          <w:szCs w:val="20"/>
        </w:rPr>
        <w:t>: For RedCap UE,</w:t>
      </w:r>
      <w:r>
        <w:rPr>
          <w:rFonts w:ascii="Times New Roman" w:hAnsi="Times New Roman" w:eastAsia="宋体"/>
          <w:b/>
          <w:bCs/>
          <w:i/>
          <w:iCs/>
          <w:kern w:val="2"/>
          <w:sz w:val="20"/>
          <w:szCs w:val="20"/>
        </w:rPr>
        <w:t xml:space="preserve"> Support frequency hopping across </w:t>
      </w:r>
      <w:r>
        <w:rPr>
          <w:rFonts w:hint="eastAsia" w:ascii="Times New Roman" w:hAnsi="Times New Roman" w:eastAsia="宋体"/>
          <w:b/>
          <w:bCs/>
          <w:i/>
          <w:iCs/>
          <w:kern w:val="2"/>
          <w:sz w:val="20"/>
          <w:szCs w:val="20"/>
          <w:lang w:val="en-US" w:eastAsia="zh-CN"/>
        </w:rPr>
        <w:t xml:space="preserve">positioning </w:t>
      </w:r>
      <w:r>
        <w:rPr>
          <w:rFonts w:ascii="Times New Roman" w:hAnsi="Times New Roman" w:eastAsia="宋体"/>
          <w:b/>
          <w:bCs/>
          <w:i/>
          <w:iCs/>
          <w:kern w:val="2"/>
          <w:sz w:val="20"/>
          <w:szCs w:val="20"/>
        </w:rPr>
        <w:t>SRS resources.</w:t>
      </w:r>
    </w:p>
    <w:p>
      <w:pPr>
        <w:widowControl w:val="0"/>
        <w:adjustRightInd w:val="0"/>
        <w:snapToGrid w:val="0"/>
        <w:spacing w:after="180" w:afterLines="50" w:line="240" w:lineRule="auto"/>
        <w:jc w:val="both"/>
      </w:pPr>
      <w:r>
        <w:rPr>
          <w:rFonts w:hint="eastAsia" w:ascii="Times New Roman" w:hAnsi="Times New Roman" w:eastAsia="宋体"/>
          <w:b/>
          <w:bCs/>
          <w:i/>
          <w:iCs/>
          <w:kern w:val="2"/>
          <w:sz w:val="20"/>
          <w:szCs w:val="20"/>
          <w:lang w:val="en-US" w:eastAsia="zh-CN"/>
        </w:rPr>
        <w:t xml:space="preserve">Proposal 7: Support to configure a new SRS configuration within the legacy SRS-Config IE to indicate </w:t>
      </w:r>
      <w:r>
        <w:rPr>
          <w:rFonts w:ascii="Times New Roman" w:hAnsi="Times New Roman"/>
          <w:b/>
          <w:bCs/>
          <w:i/>
          <w:iCs/>
          <w:sz w:val="20"/>
          <w:szCs w:val="20"/>
        </w:rPr>
        <w:t>S</w:t>
      </w:r>
      <w:r>
        <w:rPr>
          <w:rFonts w:hint="eastAsia" w:ascii="Times New Roman" w:hAnsi="Times New Roman"/>
          <w:b/>
          <w:bCs/>
          <w:i/>
          <w:iCs/>
          <w:sz w:val="20"/>
          <w:szCs w:val="20"/>
        </w:rPr>
        <w:t>RS hopping</w:t>
      </w:r>
      <w:r>
        <w:rPr>
          <w:rFonts w:hint="eastAsia" w:ascii="Times New Roman" w:hAnsi="Times New Roman"/>
          <w:b/>
          <w:bCs/>
          <w:i/>
          <w:iCs/>
          <w:sz w:val="20"/>
          <w:szCs w:val="20"/>
          <w:lang w:val="en-US" w:eastAsia="zh-CN"/>
        </w:rPr>
        <w:t xml:space="preserve"> for </w:t>
      </w:r>
      <w:r>
        <w:rPr>
          <w:rFonts w:hint="eastAsia" w:ascii="Times New Roman" w:hAnsi="Times New Roman"/>
          <w:b/>
          <w:bCs/>
          <w:i/>
          <w:iCs/>
          <w:sz w:val="20"/>
          <w:szCs w:val="20"/>
        </w:rPr>
        <w:t>RedCap UE</w:t>
      </w:r>
      <w:r>
        <w:rPr>
          <w:rFonts w:hint="eastAsia" w:ascii="Times New Roman" w:hAnsi="Times New Roman"/>
          <w:b/>
          <w:bCs/>
          <w:i/>
          <w:iCs/>
          <w:sz w:val="20"/>
          <w:szCs w:val="20"/>
          <w:lang w:val="en-US" w:eastAsia="zh-CN"/>
        </w:rPr>
        <w:t>.</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5" w:name="_Toc18404543"/>
      <w:bookmarkStart w:id="6" w:name="_Toc18413612"/>
      <w:bookmarkStart w:id="7" w:name="_Toc18403976"/>
      <w:r>
        <w:rPr>
          <w:rFonts w:cs="Arial"/>
          <w:kern w:val="0"/>
          <w:sz w:val="28"/>
          <w:szCs w:val="32"/>
        </w:rPr>
        <w:t>References</w:t>
      </w:r>
      <w:bookmarkEnd w:id="5"/>
      <w:bookmarkEnd w:id="6"/>
      <w:bookmarkEnd w:id="7"/>
    </w:p>
    <w:p>
      <w:pPr>
        <w:pageBreakBefore w:val="0"/>
        <w:numPr>
          <w:ilvl w:val="0"/>
          <w:numId w:val="14"/>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ascii="Times New Roman" w:hAnsi="Times New Roman" w:eastAsia="宋体"/>
          <w:sz w:val="20"/>
          <w:szCs w:val="20"/>
        </w:rPr>
        <w:t>RP-2</w:t>
      </w:r>
      <w:r>
        <w:rPr>
          <w:rFonts w:hint="eastAsia" w:ascii="Times New Roman" w:hAnsi="Times New Roman" w:eastAsia="宋体"/>
          <w:sz w:val="20"/>
          <w:szCs w:val="20"/>
          <w:lang w:val="en-US" w:eastAsia="zh-CN"/>
        </w:rPr>
        <w:t>23549,</w:t>
      </w:r>
      <w:r>
        <w:rPr>
          <w:rFonts w:ascii="Times New Roman" w:hAnsi="Times New Roman" w:eastAsia="宋体"/>
          <w:sz w:val="20"/>
          <w:szCs w:val="20"/>
        </w:rPr>
        <w:t xml:space="preserve"> </w:t>
      </w:r>
      <w:r>
        <w:rPr>
          <w:rFonts w:hint="eastAsia" w:ascii="Times New Roman" w:hAnsi="Times New Roman" w:eastAsia="宋体"/>
          <w:sz w:val="20"/>
          <w:szCs w:val="20"/>
        </w:rPr>
        <w:t>New WID on Expanded and Improved NR Positioning</w:t>
      </w:r>
      <w:r>
        <w:rPr>
          <w:rFonts w:hint="eastAsia" w:ascii="Times New Roman" w:hAnsi="Times New Roman" w:eastAsia="宋体"/>
          <w:sz w:val="20"/>
          <w:szCs w:val="20"/>
          <w:lang w:val="en-US" w:eastAsia="zh-CN"/>
        </w:rPr>
        <w:t>, 2022-12.</w:t>
      </w:r>
    </w:p>
    <w:p>
      <w:pPr>
        <w:pageBreakBefore w:val="0"/>
        <w:numPr>
          <w:ilvl w:val="0"/>
          <w:numId w:val="14"/>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WG1 meeting #112, 2023-03</w:t>
      </w:r>
      <w:r>
        <w:rPr>
          <w:rFonts w:ascii="Times New Roman" w:hAnsi="Times New Roman" w:eastAsia="宋体"/>
          <w:sz w:val="20"/>
          <w:szCs w:val="20"/>
          <w:lang w:val="en-US" w:eastAsia="zh-CN"/>
        </w:rPr>
        <w:t>.</w:t>
      </w:r>
    </w:p>
    <w:p>
      <w:pPr>
        <w:autoSpaceDE w:val="0"/>
        <w:autoSpaceDN w:val="0"/>
        <w:adjustRightInd w:val="0"/>
        <w:snapToGrid w:val="0"/>
        <w:spacing w:before="156" w:beforeLines="50" w:after="156" w:afterLines="50" w:line="240" w:lineRule="auto"/>
        <w:rPr>
          <w:rFonts w:ascii="Times New Roman" w:hAnsi="Times New Roman"/>
          <w:color w:val="000000"/>
          <w:sz w:val="20"/>
          <w:szCs w:val="20"/>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D35C078A"/>
    <w:multiLevelType w:val="singleLevel"/>
    <w:tmpl w:val="D35C078A"/>
    <w:lvl w:ilvl="0" w:tentative="0">
      <w:start w:val="1"/>
      <w:numFmt w:val="bullet"/>
      <w:lvlText w:val="▪"/>
      <w:lvlJc w:val="left"/>
      <w:pPr>
        <w:ind w:left="420" w:leftChars="0" w:hanging="420" w:firstLineChars="0"/>
      </w:pPr>
      <w:rPr>
        <w:rFonts w:hint="default" w:ascii="Arial" w:hAnsi="Arial" w:cs="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AAE1D74"/>
    <w:multiLevelType w:val="multilevel"/>
    <w:tmpl w:val="2AAE1D74"/>
    <w:lvl w:ilvl="0" w:tentative="0">
      <w:start w:val="1"/>
      <w:numFmt w:val="decimal"/>
      <w:lvlText w:val="(%1)"/>
      <w:lvlJc w:val="left"/>
      <w:pPr>
        <w:tabs>
          <w:tab w:val="left" w:pos="-420"/>
        </w:tabs>
        <w:ind w:left="-60" w:hanging="360"/>
      </w:pPr>
      <w:rPr>
        <w:rFonts w:hint="default"/>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420"/>
        </w:tabs>
        <w:ind w:left="840" w:hanging="420"/>
      </w:pPr>
    </w:lvl>
    <w:lvl w:ilvl="3" w:tentative="0">
      <w:start w:val="1"/>
      <w:numFmt w:val="decimal"/>
      <w:lvlText w:val="%4."/>
      <w:lvlJc w:val="left"/>
      <w:pPr>
        <w:tabs>
          <w:tab w:val="left" w:pos="-420"/>
        </w:tabs>
        <w:ind w:left="1260" w:hanging="420"/>
      </w:pPr>
    </w:lvl>
    <w:lvl w:ilvl="4" w:tentative="0">
      <w:start w:val="1"/>
      <w:numFmt w:val="lowerLetter"/>
      <w:lvlText w:val="%5)"/>
      <w:lvlJc w:val="left"/>
      <w:pPr>
        <w:tabs>
          <w:tab w:val="left" w:pos="-420"/>
        </w:tabs>
        <w:ind w:left="1680" w:hanging="420"/>
      </w:pPr>
    </w:lvl>
    <w:lvl w:ilvl="5" w:tentative="0">
      <w:start w:val="1"/>
      <w:numFmt w:val="lowerRoman"/>
      <w:lvlText w:val="%6."/>
      <w:lvlJc w:val="right"/>
      <w:pPr>
        <w:tabs>
          <w:tab w:val="left" w:pos="-420"/>
        </w:tabs>
        <w:ind w:left="2100" w:hanging="420"/>
      </w:pPr>
    </w:lvl>
    <w:lvl w:ilvl="6" w:tentative="0">
      <w:start w:val="1"/>
      <w:numFmt w:val="decimal"/>
      <w:lvlText w:val="%7."/>
      <w:lvlJc w:val="left"/>
      <w:pPr>
        <w:tabs>
          <w:tab w:val="left" w:pos="-420"/>
        </w:tabs>
        <w:ind w:left="2520" w:hanging="420"/>
      </w:pPr>
    </w:lvl>
    <w:lvl w:ilvl="7" w:tentative="0">
      <w:start w:val="1"/>
      <w:numFmt w:val="lowerLetter"/>
      <w:lvlText w:val="%8)"/>
      <w:lvlJc w:val="left"/>
      <w:pPr>
        <w:tabs>
          <w:tab w:val="left" w:pos="-420"/>
        </w:tabs>
        <w:ind w:left="2940" w:hanging="420"/>
      </w:pPr>
    </w:lvl>
    <w:lvl w:ilvl="8" w:tentative="0">
      <w:start w:val="1"/>
      <w:numFmt w:val="lowerRoman"/>
      <w:lvlText w:val="%9."/>
      <w:lvlJc w:val="right"/>
      <w:pPr>
        <w:tabs>
          <w:tab w:val="left" w:pos="-420"/>
        </w:tabs>
        <w:ind w:left="3360" w:hanging="420"/>
      </w:pPr>
    </w:lvl>
  </w:abstractNum>
  <w:abstractNum w:abstractNumId="6">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7B00C7"/>
    <w:multiLevelType w:val="multilevel"/>
    <w:tmpl w:val="527B00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8485E7F"/>
    <w:multiLevelType w:val="multilevel"/>
    <w:tmpl w:val="68485E7F"/>
    <w:lvl w:ilvl="0" w:tentative="0">
      <w:start w:val="0"/>
      <w:numFmt w:val="bullet"/>
      <w:lvlText w:val="-"/>
      <w:lvlJc w:val="left"/>
      <w:pPr>
        <w:ind w:left="9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8"/>
  </w:num>
  <w:num w:numId="3">
    <w:abstractNumId w:val="6"/>
  </w:num>
  <w:num w:numId="4">
    <w:abstractNumId w:val="7"/>
  </w:num>
  <w:num w:numId="5">
    <w:abstractNumId w:val="3"/>
  </w:num>
  <w:num w:numId="6">
    <w:abstractNumId w:val="4"/>
  </w:num>
  <w:num w:numId="7">
    <w:abstractNumId w:val="12"/>
  </w:num>
  <w:num w:numId="8">
    <w:abstractNumId w:val="10"/>
  </w:num>
  <w:num w:numId="9">
    <w:abstractNumId w:val="13"/>
  </w:num>
  <w:num w:numId="10">
    <w:abstractNumId w:val="9"/>
  </w:num>
  <w:num w:numId="11">
    <w:abstractNumId w:val="1"/>
  </w:num>
  <w:num w:numId="12">
    <w:abstractNumId w:val="11"/>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172A27"/>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5551"/>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582FCA"/>
    <w:rsid w:val="016F2955"/>
    <w:rsid w:val="01A61BCC"/>
    <w:rsid w:val="01DB35BC"/>
    <w:rsid w:val="01E06294"/>
    <w:rsid w:val="01E93F57"/>
    <w:rsid w:val="02090528"/>
    <w:rsid w:val="02096E03"/>
    <w:rsid w:val="021A15C5"/>
    <w:rsid w:val="0276200A"/>
    <w:rsid w:val="02852DB6"/>
    <w:rsid w:val="02AF57A1"/>
    <w:rsid w:val="02B750FF"/>
    <w:rsid w:val="02C63FE5"/>
    <w:rsid w:val="02E5442A"/>
    <w:rsid w:val="02F13DD8"/>
    <w:rsid w:val="032E412C"/>
    <w:rsid w:val="03397D1D"/>
    <w:rsid w:val="034C2C19"/>
    <w:rsid w:val="035125B8"/>
    <w:rsid w:val="03695ACD"/>
    <w:rsid w:val="036E1C26"/>
    <w:rsid w:val="037439E2"/>
    <w:rsid w:val="03811AAC"/>
    <w:rsid w:val="038C6338"/>
    <w:rsid w:val="03BC3684"/>
    <w:rsid w:val="041E10AB"/>
    <w:rsid w:val="0427122D"/>
    <w:rsid w:val="04405CD4"/>
    <w:rsid w:val="04635DF4"/>
    <w:rsid w:val="04CA0EF3"/>
    <w:rsid w:val="05D1293B"/>
    <w:rsid w:val="05DD432B"/>
    <w:rsid w:val="062609E2"/>
    <w:rsid w:val="06270E5D"/>
    <w:rsid w:val="06301129"/>
    <w:rsid w:val="06931225"/>
    <w:rsid w:val="06997BBE"/>
    <w:rsid w:val="06FD17FF"/>
    <w:rsid w:val="07332E45"/>
    <w:rsid w:val="07393CB3"/>
    <w:rsid w:val="074F610E"/>
    <w:rsid w:val="07645E7E"/>
    <w:rsid w:val="07815AA2"/>
    <w:rsid w:val="078372D0"/>
    <w:rsid w:val="07DB31F6"/>
    <w:rsid w:val="08036844"/>
    <w:rsid w:val="0813454F"/>
    <w:rsid w:val="08290B61"/>
    <w:rsid w:val="082E3074"/>
    <w:rsid w:val="083828A5"/>
    <w:rsid w:val="084C6A0E"/>
    <w:rsid w:val="084F5179"/>
    <w:rsid w:val="08634AA9"/>
    <w:rsid w:val="086A0D8F"/>
    <w:rsid w:val="08870B03"/>
    <w:rsid w:val="08DF3B5A"/>
    <w:rsid w:val="08F85767"/>
    <w:rsid w:val="09253E9C"/>
    <w:rsid w:val="0929781C"/>
    <w:rsid w:val="09324291"/>
    <w:rsid w:val="095438C6"/>
    <w:rsid w:val="0962097D"/>
    <w:rsid w:val="098B1EF5"/>
    <w:rsid w:val="09911B95"/>
    <w:rsid w:val="09945F3A"/>
    <w:rsid w:val="09C00C21"/>
    <w:rsid w:val="09CB5A6C"/>
    <w:rsid w:val="09CF7F1B"/>
    <w:rsid w:val="09F00BD8"/>
    <w:rsid w:val="09F318B6"/>
    <w:rsid w:val="09F96DC8"/>
    <w:rsid w:val="09FD6E02"/>
    <w:rsid w:val="0A1A74F5"/>
    <w:rsid w:val="0A1D73FF"/>
    <w:rsid w:val="0A3737D9"/>
    <w:rsid w:val="0A750F68"/>
    <w:rsid w:val="0A8417D4"/>
    <w:rsid w:val="0A892DAE"/>
    <w:rsid w:val="0AE61C59"/>
    <w:rsid w:val="0AEC356E"/>
    <w:rsid w:val="0AF22A25"/>
    <w:rsid w:val="0B1D2647"/>
    <w:rsid w:val="0B545B44"/>
    <w:rsid w:val="0B866A92"/>
    <w:rsid w:val="0BCC7616"/>
    <w:rsid w:val="0BFC2A25"/>
    <w:rsid w:val="0C0E0547"/>
    <w:rsid w:val="0C34609D"/>
    <w:rsid w:val="0C4A196E"/>
    <w:rsid w:val="0C567D3B"/>
    <w:rsid w:val="0C7F2DB2"/>
    <w:rsid w:val="0CBA1583"/>
    <w:rsid w:val="0CBC415D"/>
    <w:rsid w:val="0CD249CC"/>
    <w:rsid w:val="0D0E7FCB"/>
    <w:rsid w:val="0D4246F7"/>
    <w:rsid w:val="0D5B571E"/>
    <w:rsid w:val="0D9222C1"/>
    <w:rsid w:val="0DC045AB"/>
    <w:rsid w:val="0DFF7D07"/>
    <w:rsid w:val="0E374CA0"/>
    <w:rsid w:val="0E6F0740"/>
    <w:rsid w:val="0EC0431F"/>
    <w:rsid w:val="0EC841AC"/>
    <w:rsid w:val="0F321E2D"/>
    <w:rsid w:val="0F4E2E70"/>
    <w:rsid w:val="0F52256E"/>
    <w:rsid w:val="0F6715A1"/>
    <w:rsid w:val="0F8070F6"/>
    <w:rsid w:val="0FA731D6"/>
    <w:rsid w:val="0FEB5B51"/>
    <w:rsid w:val="0FFB5943"/>
    <w:rsid w:val="10232DBB"/>
    <w:rsid w:val="103246BB"/>
    <w:rsid w:val="103F55E5"/>
    <w:rsid w:val="10685221"/>
    <w:rsid w:val="108C2AA3"/>
    <w:rsid w:val="10DE14BF"/>
    <w:rsid w:val="10DF3115"/>
    <w:rsid w:val="113E3C41"/>
    <w:rsid w:val="115043F2"/>
    <w:rsid w:val="11793F32"/>
    <w:rsid w:val="11B5797D"/>
    <w:rsid w:val="11C5124A"/>
    <w:rsid w:val="11DD4AE3"/>
    <w:rsid w:val="11E15AE5"/>
    <w:rsid w:val="11E53E9B"/>
    <w:rsid w:val="11FC2643"/>
    <w:rsid w:val="11FC5F30"/>
    <w:rsid w:val="120048B1"/>
    <w:rsid w:val="12015140"/>
    <w:rsid w:val="12394E59"/>
    <w:rsid w:val="124650E4"/>
    <w:rsid w:val="127D584B"/>
    <w:rsid w:val="1299671F"/>
    <w:rsid w:val="12A742B1"/>
    <w:rsid w:val="12C40C84"/>
    <w:rsid w:val="12DA03B2"/>
    <w:rsid w:val="12E63AB1"/>
    <w:rsid w:val="12F26CD0"/>
    <w:rsid w:val="13036F01"/>
    <w:rsid w:val="131813A1"/>
    <w:rsid w:val="134D6BAD"/>
    <w:rsid w:val="13684930"/>
    <w:rsid w:val="13DC640D"/>
    <w:rsid w:val="141842FE"/>
    <w:rsid w:val="14352831"/>
    <w:rsid w:val="146B64E1"/>
    <w:rsid w:val="147C4AD6"/>
    <w:rsid w:val="14993B21"/>
    <w:rsid w:val="14C601D9"/>
    <w:rsid w:val="14D73601"/>
    <w:rsid w:val="15014A40"/>
    <w:rsid w:val="15283F81"/>
    <w:rsid w:val="15442AC7"/>
    <w:rsid w:val="156B4B8B"/>
    <w:rsid w:val="15762F38"/>
    <w:rsid w:val="15890495"/>
    <w:rsid w:val="15CB3D7D"/>
    <w:rsid w:val="15D71452"/>
    <w:rsid w:val="15E03D6F"/>
    <w:rsid w:val="15EE6FF0"/>
    <w:rsid w:val="15EF5060"/>
    <w:rsid w:val="168179E1"/>
    <w:rsid w:val="16950091"/>
    <w:rsid w:val="169C366A"/>
    <w:rsid w:val="16DA1E4D"/>
    <w:rsid w:val="16FB015A"/>
    <w:rsid w:val="17003574"/>
    <w:rsid w:val="17156A85"/>
    <w:rsid w:val="171C4EF7"/>
    <w:rsid w:val="172062A9"/>
    <w:rsid w:val="17535B24"/>
    <w:rsid w:val="17A31370"/>
    <w:rsid w:val="17AE1B61"/>
    <w:rsid w:val="17B06B1C"/>
    <w:rsid w:val="17DB5457"/>
    <w:rsid w:val="17F53DC6"/>
    <w:rsid w:val="17F84A91"/>
    <w:rsid w:val="180B4FFB"/>
    <w:rsid w:val="18211C57"/>
    <w:rsid w:val="1842664F"/>
    <w:rsid w:val="18543673"/>
    <w:rsid w:val="186B7D0B"/>
    <w:rsid w:val="189D065F"/>
    <w:rsid w:val="18BC6F6C"/>
    <w:rsid w:val="18CC22F5"/>
    <w:rsid w:val="18DC52D7"/>
    <w:rsid w:val="18F32BCE"/>
    <w:rsid w:val="18F47A1E"/>
    <w:rsid w:val="18FC4F8D"/>
    <w:rsid w:val="18FF4ABB"/>
    <w:rsid w:val="19343406"/>
    <w:rsid w:val="196811DB"/>
    <w:rsid w:val="19B56271"/>
    <w:rsid w:val="1A45032B"/>
    <w:rsid w:val="1A640E62"/>
    <w:rsid w:val="1A694128"/>
    <w:rsid w:val="1A713779"/>
    <w:rsid w:val="1A84217D"/>
    <w:rsid w:val="1A9B1F53"/>
    <w:rsid w:val="1ABB54B3"/>
    <w:rsid w:val="1ADD47AF"/>
    <w:rsid w:val="1AE025B8"/>
    <w:rsid w:val="1B0E71AD"/>
    <w:rsid w:val="1B27429F"/>
    <w:rsid w:val="1B287D14"/>
    <w:rsid w:val="1B3D4012"/>
    <w:rsid w:val="1B481AFB"/>
    <w:rsid w:val="1B7A1663"/>
    <w:rsid w:val="1B8F6978"/>
    <w:rsid w:val="1BA669C0"/>
    <w:rsid w:val="1BAD0862"/>
    <w:rsid w:val="1BC27038"/>
    <w:rsid w:val="1BC73993"/>
    <w:rsid w:val="1BD24B16"/>
    <w:rsid w:val="1BF62321"/>
    <w:rsid w:val="1C130C67"/>
    <w:rsid w:val="1C1A3F41"/>
    <w:rsid w:val="1C2D5D31"/>
    <w:rsid w:val="1C696E9C"/>
    <w:rsid w:val="1CA840EE"/>
    <w:rsid w:val="1CB66FE7"/>
    <w:rsid w:val="1CBD093F"/>
    <w:rsid w:val="1CC83450"/>
    <w:rsid w:val="1CE21C50"/>
    <w:rsid w:val="1CE9601A"/>
    <w:rsid w:val="1CFD2D01"/>
    <w:rsid w:val="1D235F66"/>
    <w:rsid w:val="1D60463E"/>
    <w:rsid w:val="1D665A9E"/>
    <w:rsid w:val="1D667D51"/>
    <w:rsid w:val="1D8D3AB3"/>
    <w:rsid w:val="1DC566C0"/>
    <w:rsid w:val="1DE501D0"/>
    <w:rsid w:val="1E21472F"/>
    <w:rsid w:val="1E2442EB"/>
    <w:rsid w:val="1E2804C4"/>
    <w:rsid w:val="1E2C49A1"/>
    <w:rsid w:val="1E3722FA"/>
    <w:rsid w:val="1E6A1059"/>
    <w:rsid w:val="1E8146DA"/>
    <w:rsid w:val="1EA46EA2"/>
    <w:rsid w:val="1EAA39F6"/>
    <w:rsid w:val="1EB2633F"/>
    <w:rsid w:val="1EB847E9"/>
    <w:rsid w:val="1EFC10C8"/>
    <w:rsid w:val="1F853F14"/>
    <w:rsid w:val="1F8E0455"/>
    <w:rsid w:val="1F947118"/>
    <w:rsid w:val="1FA76059"/>
    <w:rsid w:val="1FAF272D"/>
    <w:rsid w:val="1FC76FC8"/>
    <w:rsid w:val="1FDB17D6"/>
    <w:rsid w:val="1FE374E8"/>
    <w:rsid w:val="1FFC5344"/>
    <w:rsid w:val="204934AB"/>
    <w:rsid w:val="20573F56"/>
    <w:rsid w:val="20705710"/>
    <w:rsid w:val="20840318"/>
    <w:rsid w:val="20930DFA"/>
    <w:rsid w:val="20CE5836"/>
    <w:rsid w:val="20D02BC7"/>
    <w:rsid w:val="20F0405B"/>
    <w:rsid w:val="20FF009C"/>
    <w:rsid w:val="210637EE"/>
    <w:rsid w:val="210948AE"/>
    <w:rsid w:val="210D5388"/>
    <w:rsid w:val="211E529B"/>
    <w:rsid w:val="212F726E"/>
    <w:rsid w:val="213A5E32"/>
    <w:rsid w:val="214425B4"/>
    <w:rsid w:val="21783992"/>
    <w:rsid w:val="218F6DAE"/>
    <w:rsid w:val="21A40526"/>
    <w:rsid w:val="21D36B48"/>
    <w:rsid w:val="21D93ECC"/>
    <w:rsid w:val="221B7641"/>
    <w:rsid w:val="222E4F94"/>
    <w:rsid w:val="223B5FD0"/>
    <w:rsid w:val="224F5646"/>
    <w:rsid w:val="22565B2D"/>
    <w:rsid w:val="229A0A46"/>
    <w:rsid w:val="22BD0C78"/>
    <w:rsid w:val="22D5441E"/>
    <w:rsid w:val="22D61F71"/>
    <w:rsid w:val="22DC084E"/>
    <w:rsid w:val="23170589"/>
    <w:rsid w:val="232660FF"/>
    <w:rsid w:val="23BE01FF"/>
    <w:rsid w:val="2418652F"/>
    <w:rsid w:val="245A1846"/>
    <w:rsid w:val="248512BD"/>
    <w:rsid w:val="24DF0E0B"/>
    <w:rsid w:val="24DF29CF"/>
    <w:rsid w:val="24E51B39"/>
    <w:rsid w:val="25173A41"/>
    <w:rsid w:val="252D5DCC"/>
    <w:rsid w:val="255B75CB"/>
    <w:rsid w:val="25841D88"/>
    <w:rsid w:val="25983F03"/>
    <w:rsid w:val="259E6701"/>
    <w:rsid w:val="25A45302"/>
    <w:rsid w:val="25A94E88"/>
    <w:rsid w:val="25C84E2B"/>
    <w:rsid w:val="25E135DF"/>
    <w:rsid w:val="261E413F"/>
    <w:rsid w:val="263E633F"/>
    <w:rsid w:val="267E599C"/>
    <w:rsid w:val="26995B41"/>
    <w:rsid w:val="26A655F4"/>
    <w:rsid w:val="26C17FC8"/>
    <w:rsid w:val="26D04B06"/>
    <w:rsid w:val="26E309F3"/>
    <w:rsid w:val="27626EF5"/>
    <w:rsid w:val="2771651B"/>
    <w:rsid w:val="27771F24"/>
    <w:rsid w:val="27997F2B"/>
    <w:rsid w:val="27B132D6"/>
    <w:rsid w:val="27B94A5B"/>
    <w:rsid w:val="27FF1FDA"/>
    <w:rsid w:val="28026CAF"/>
    <w:rsid w:val="28447529"/>
    <w:rsid w:val="28915210"/>
    <w:rsid w:val="28937E74"/>
    <w:rsid w:val="29095102"/>
    <w:rsid w:val="293E1B9C"/>
    <w:rsid w:val="299F2C32"/>
    <w:rsid w:val="29A240AE"/>
    <w:rsid w:val="29A81AA0"/>
    <w:rsid w:val="29B32846"/>
    <w:rsid w:val="29ED63D5"/>
    <w:rsid w:val="2A125FBB"/>
    <w:rsid w:val="2A275682"/>
    <w:rsid w:val="2A275D46"/>
    <w:rsid w:val="2A725700"/>
    <w:rsid w:val="2AA14025"/>
    <w:rsid w:val="2AA2481F"/>
    <w:rsid w:val="2AAB4EF5"/>
    <w:rsid w:val="2ACA4643"/>
    <w:rsid w:val="2B2348E2"/>
    <w:rsid w:val="2B410587"/>
    <w:rsid w:val="2B5D0645"/>
    <w:rsid w:val="2B8D6E28"/>
    <w:rsid w:val="2B907720"/>
    <w:rsid w:val="2BAC5F48"/>
    <w:rsid w:val="2BCD0751"/>
    <w:rsid w:val="2C227360"/>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DF7C66"/>
    <w:rsid w:val="2DFB709E"/>
    <w:rsid w:val="2E09336F"/>
    <w:rsid w:val="2E1874A7"/>
    <w:rsid w:val="2E291A3B"/>
    <w:rsid w:val="2E6A0F96"/>
    <w:rsid w:val="2EC27772"/>
    <w:rsid w:val="2ED0428B"/>
    <w:rsid w:val="2EF02B88"/>
    <w:rsid w:val="2F263E1B"/>
    <w:rsid w:val="2F2F7D99"/>
    <w:rsid w:val="2F337D9E"/>
    <w:rsid w:val="2F876359"/>
    <w:rsid w:val="2FE271AA"/>
    <w:rsid w:val="300160A4"/>
    <w:rsid w:val="3003631E"/>
    <w:rsid w:val="30745F5B"/>
    <w:rsid w:val="3078124A"/>
    <w:rsid w:val="3090209F"/>
    <w:rsid w:val="30953FB5"/>
    <w:rsid w:val="30B900CD"/>
    <w:rsid w:val="30EF2DA4"/>
    <w:rsid w:val="31374CCA"/>
    <w:rsid w:val="31623402"/>
    <w:rsid w:val="31647FD3"/>
    <w:rsid w:val="31C35099"/>
    <w:rsid w:val="31EB4942"/>
    <w:rsid w:val="31EC5E5F"/>
    <w:rsid w:val="32187B45"/>
    <w:rsid w:val="32362071"/>
    <w:rsid w:val="3273050E"/>
    <w:rsid w:val="32891F62"/>
    <w:rsid w:val="328C1583"/>
    <w:rsid w:val="32A357A6"/>
    <w:rsid w:val="32BA51FE"/>
    <w:rsid w:val="32C9080C"/>
    <w:rsid w:val="32CA0CF4"/>
    <w:rsid w:val="32E51067"/>
    <w:rsid w:val="32FC45E1"/>
    <w:rsid w:val="334275F5"/>
    <w:rsid w:val="33636F14"/>
    <w:rsid w:val="33670485"/>
    <w:rsid w:val="337F19A3"/>
    <w:rsid w:val="33C54618"/>
    <w:rsid w:val="33CE360E"/>
    <w:rsid w:val="33F922E8"/>
    <w:rsid w:val="34211C7C"/>
    <w:rsid w:val="34617445"/>
    <w:rsid w:val="347A4EB8"/>
    <w:rsid w:val="35183D8B"/>
    <w:rsid w:val="35387D52"/>
    <w:rsid w:val="35523D5A"/>
    <w:rsid w:val="356926AE"/>
    <w:rsid w:val="35746D1B"/>
    <w:rsid w:val="358E0757"/>
    <w:rsid w:val="35AE7101"/>
    <w:rsid w:val="35BB43C3"/>
    <w:rsid w:val="35F9212A"/>
    <w:rsid w:val="36281B26"/>
    <w:rsid w:val="36336C04"/>
    <w:rsid w:val="366043F8"/>
    <w:rsid w:val="366626F2"/>
    <w:rsid w:val="36815360"/>
    <w:rsid w:val="369176BA"/>
    <w:rsid w:val="369D6E52"/>
    <w:rsid w:val="36C63FD4"/>
    <w:rsid w:val="36D74E42"/>
    <w:rsid w:val="36EC0BD4"/>
    <w:rsid w:val="374F6194"/>
    <w:rsid w:val="37503514"/>
    <w:rsid w:val="377F6041"/>
    <w:rsid w:val="37AB26C1"/>
    <w:rsid w:val="37BC7D72"/>
    <w:rsid w:val="37D133A4"/>
    <w:rsid w:val="37E15A1B"/>
    <w:rsid w:val="37F2006F"/>
    <w:rsid w:val="37FE3363"/>
    <w:rsid w:val="380F66D8"/>
    <w:rsid w:val="381F6D33"/>
    <w:rsid w:val="382E42A6"/>
    <w:rsid w:val="38A75F14"/>
    <w:rsid w:val="38B502C7"/>
    <w:rsid w:val="38BD2C6C"/>
    <w:rsid w:val="38E022B1"/>
    <w:rsid w:val="38EC59C6"/>
    <w:rsid w:val="38FA0996"/>
    <w:rsid w:val="392957F1"/>
    <w:rsid w:val="39370672"/>
    <w:rsid w:val="39467E4B"/>
    <w:rsid w:val="396E02FE"/>
    <w:rsid w:val="39781F0B"/>
    <w:rsid w:val="397F1A36"/>
    <w:rsid w:val="39813C35"/>
    <w:rsid w:val="3982272C"/>
    <w:rsid w:val="399648C1"/>
    <w:rsid w:val="39BB3B43"/>
    <w:rsid w:val="39E31D59"/>
    <w:rsid w:val="39F55409"/>
    <w:rsid w:val="3A156CE0"/>
    <w:rsid w:val="3A277789"/>
    <w:rsid w:val="3A282070"/>
    <w:rsid w:val="3A2D66D3"/>
    <w:rsid w:val="3A774C42"/>
    <w:rsid w:val="3A891A0E"/>
    <w:rsid w:val="3A8950EF"/>
    <w:rsid w:val="3A8D551A"/>
    <w:rsid w:val="3A9620D1"/>
    <w:rsid w:val="3AA26C9B"/>
    <w:rsid w:val="3ABD4C4E"/>
    <w:rsid w:val="3AD0140D"/>
    <w:rsid w:val="3ADC5E36"/>
    <w:rsid w:val="3AFC2B33"/>
    <w:rsid w:val="3AFC41BB"/>
    <w:rsid w:val="3B7071D7"/>
    <w:rsid w:val="3B7F2802"/>
    <w:rsid w:val="3B8B43E4"/>
    <w:rsid w:val="3BB502C9"/>
    <w:rsid w:val="3BC33F8E"/>
    <w:rsid w:val="3BCE7F95"/>
    <w:rsid w:val="3C087392"/>
    <w:rsid w:val="3C1946D5"/>
    <w:rsid w:val="3C3F7E0E"/>
    <w:rsid w:val="3C893061"/>
    <w:rsid w:val="3C9374D0"/>
    <w:rsid w:val="3C9D7B54"/>
    <w:rsid w:val="3CB674D9"/>
    <w:rsid w:val="3CBD1AE8"/>
    <w:rsid w:val="3D0F30FA"/>
    <w:rsid w:val="3D634A82"/>
    <w:rsid w:val="3D9210CE"/>
    <w:rsid w:val="3D984876"/>
    <w:rsid w:val="3DAC0E95"/>
    <w:rsid w:val="3E176CAE"/>
    <w:rsid w:val="3E7A082F"/>
    <w:rsid w:val="3E8C24B5"/>
    <w:rsid w:val="3E926EC3"/>
    <w:rsid w:val="3E93478A"/>
    <w:rsid w:val="3E9F10BF"/>
    <w:rsid w:val="3EA37509"/>
    <w:rsid w:val="3EAB4933"/>
    <w:rsid w:val="3EC40624"/>
    <w:rsid w:val="3F055B96"/>
    <w:rsid w:val="3F0875E3"/>
    <w:rsid w:val="3F09726C"/>
    <w:rsid w:val="3F1F25CF"/>
    <w:rsid w:val="3F4275F7"/>
    <w:rsid w:val="3F495E7B"/>
    <w:rsid w:val="3F5B21D1"/>
    <w:rsid w:val="3F73510D"/>
    <w:rsid w:val="3F8759C3"/>
    <w:rsid w:val="3FB60A94"/>
    <w:rsid w:val="3FBD74AC"/>
    <w:rsid w:val="3FCB1C0B"/>
    <w:rsid w:val="402D7D95"/>
    <w:rsid w:val="402F67F2"/>
    <w:rsid w:val="402F7D1A"/>
    <w:rsid w:val="405E7B10"/>
    <w:rsid w:val="40D44E00"/>
    <w:rsid w:val="40E74724"/>
    <w:rsid w:val="411531A3"/>
    <w:rsid w:val="414B0A93"/>
    <w:rsid w:val="415723A1"/>
    <w:rsid w:val="41643432"/>
    <w:rsid w:val="421B0E01"/>
    <w:rsid w:val="42397238"/>
    <w:rsid w:val="42481B2A"/>
    <w:rsid w:val="42823824"/>
    <w:rsid w:val="428328E7"/>
    <w:rsid w:val="42E63F3C"/>
    <w:rsid w:val="42F81741"/>
    <w:rsid w:val="42FD5B58"/>
    <w:rsid w:val="433513DE"/>
    <w:rsid w:val="437906BF"/>
    <w:rsid w:val="43896179"/>
    <w:rsid w:val="43945CC5"/>
    <w:rsid w:val="43BC7AB7"/>
    <w:rsid w:val="43CE3BC6"/>
    <w:rsid w:val="43FB5AF0"/>
    <w:rsid w:val="440B4BBE"/>
    <w:rsid w:val="44211E9A"/>
    <w:rsid w:val="443909A1"/>
    <w:rsid w:val="44416B83"/>
    <w:rsid w:val="4454633F"/>
    <w:rsid w:val="44555A83"/>
    <w:rsid w:val="446A1C8A"/>
    <w:rsid w:val="448E37BC"/>
    <w:rsid w:val="44C70D28"/>
    <w:rsid w:val="44EE2D37"/>
    <w:rsid w:val="44F2313F"/>
    <w:rsid w:val="44F66A73"/>
    <w:rsid w:val="45465A74"/>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6C7D55"/>
    <w:rsid w:val="478E0F31"/>
    <w:rsid w:val="47A30EFE"/>
    <w:rsid w:val="47B952BD"/>
    <w:rsid w:val="47E221AB"/>
    <w:rsid w:val="47FE7D60"/>
    <w:rsid w:val="480C6069"/>
    <w:rsid w:val="48110BF4"/>
    <w:rsid w:val="48200D75"/>
    <w:rsid w:val="48283643"/>
    <w:rsid w:val="484C3C28"/>
    <w:rsid w:val="48516D40"/>
    <w:rsid w:val="486A5C7B"/>
    <w:rsid w:val="48981C51"/>
    <w:rsid w:val="48BB3F94"/>
    <w:rsid w:val="48DE0121"/>
    <w:rsid w:val="48DF2E4F"/>
    <w:rsid w:val="48E03D9C"/>
    <w:rsid w:val="490B656E"/>
    <w:rsid w:val="49374149"/>
    <w:rsid w:val="495C016E"/>
    <w:rsid w:val="49613924"/>
    <w:rsid w:val="496D0F3E"/>
    <w:rsid w:val="49736122"/>
    <w:rsid w:val="49BA69E4"/>
    <w:rsid w:val="49C91669"/>
    <w:rsid w:val="49E12571"/>
    <w:rsid w:val="49E378C6"/>
    <w:rsid w:val="4A2C24D8"/>
    <w:rsid w:val="4A834EBE"/>
    <w:rsid w:val="4AB03CA7"/>
    <w:rsid w:val="4B0913B7"/>
    <w:rsid w:val="4B3040AF"/>
    <w:rsid w:val="4B55574A"/>
    <w:rsid w:val="4B691429"/>
    <w:rsid w:val="4B8B3072"/>
    <w:rsid w:val="4B98035B"/>
    <w:rsid w:val="4BA44E0F"/>
    <w:rsid w:val="4BA90131"/>
    <w:rsid w:val="4BB36285"/>
    <w:rsid w:val="4BB55DB0"/>
    <w:rsid w:val="4BD35EC5"/>
    <w:rsid w:val="4BF55CE7"/>
    <w:rsid w:val="4C1B3C0A"/>
    <w:rsid w:val="4C276F34"/>
    <w:rsid w:val="4C4846F9"/>
    <w:rsid w:val="4CAC205F"/>
    <w:rsid w:val="4CB652AF"/>
    <w:rsid w:val="4CBC728A"/>
    <w:rsid w:val="4CD02623"/>
    <w:rsid w:val="4CFB69A6"/>
    <w:rsid w:val="4D2316EA"/>
    <w:rsid w:val="4D267491"/>
    <w:rsid w:val="4D830955"/>
    <w:rsid w:val="4DBA0BBF"/>
    <w:rsid w:val="4DF641D3"/>
    <w:rsid w:val="4E142C10"/>
    <w:rsid w:val="4E3E017D"/>
    <w:rsid w:val="4E595188"/>
    <w:rsid w:val="4E5C4B6D"/>
    <w:rsid w:val="4E5F59DA"/>
    <w:rsid w:val="4E9C207E"/>
    <w:rsid w:val="4EA44C2A"/>
    <w:rsid w:val="4EB52600"/>
    <w:rsid w:val="4EDE39A3"/>
    <w:rsid w:val="4EF04DAF"/>
    <w:rsid w:val="4EF23E87"/>
    <w:rsid w:val="4F2941D5"/>
    <w:rsid w:val="4F6760FD"/>
    <w:rsid w:val="4FBC4EE8"/>
    <w:rsid w:val="4FE021FD"/>
    <w:rsid w:val="4FFC0A94"/>
    <w:rsid w:val="50081059"/>
    <w:rsid w:val="503130FA"/>
    <w:rsid w:val="505C1623"/>
    <w:rsid w:val="509C4E92"/>
    <w:rsid w:val="50EA436D"/>
    <w:rsid w:val="50F36CD9"/>
    <w:rsid w:val="512E641B"/>
    <w:rsid w:val="517D059D"/>
    <w:rsid w:val="5187443E"/>
    <w:rsid w:val="519A289D"/>
    <w:rsid w:val="51FA56D9"/>
    <w:rsid w:val="521723B7"/>
    <w:rsid w:val="522E786D"/>
    <w:rsid w:val="523F7F97"/>
    <w:rsid w:val="52FA6FA7"/>
    <w:rsid w:val="53047529"/>
    <w:rsid w:val="530E6302"/>
    <w:rsid w:val="53112356"/>
    <w:rsid w:val="533F2FA2"/>
    <w:rsid w:val="53B9060B"/>
    <w:rsid w:val="54107975"/>
    <w:rsid w:val="5451551D"/>
    <w:rsid w:val="54583B66"/>
    <w:rsid w:val="548B3E8B"/>
    <w:rsid w:val="548C2C0D"/>
    <w:rsid w:val="54D6790A"/>
    <w:rsid w:val="54DF4ADE"/>
    <w:rsid w:val="55205953"/>
    <w:rsid w:val="553A4CBA"/>
    <w:rsid w:val="55622A1E"/>
    <w:rsid w:val="557E6857"/>
    <w:rsid w:val="55880F5E"/>
    <w:rsid w:val="55B81471"/>
    <w:rsid w:val="55C36E95"/>
    <w:rsid w:val="55E15918"/>
    <w:rsid w:val="55E65C45"/>
    <w:rsid w:val="55F9753C"/>
    <w:rsid w:val="55FA344A"/>
    <w:rsid w:val="560E1027"/>
    <w:rsid w:val="5616542D"/>
    <w:rsid w:val="563A460F"/>
    <w:rsid w:val="563F7413"/>
    <w:rsid w:val="564F769C"/>
    <w:rsid w:val="566B6C45"/>
    <w:rsid w:val="56975E59"/>
    <w:rsid w:val="569C350B"/>
    <w:rsid w:val="56BF0EA2"/>
    <w:rsid w:val="56D31AD8"/>
    <w:rsid w:val="56EA3918"/>
    <w:rsid w:val="570C7452"/>
    <w:rsid w:val="57115AD5"/>
    <w:rsid w:val="57460503"/>
    <w:rsid w:val="575272DC"/>
    <w:rsid w:val="575370FA"/>
    <w:rsid w:val="575F0A84"/>
    <w:rsid w:val="57A954D4"/>
    <w:rsid w:val="57B548D9"/>
    <w:rsid w:val="57BD0A78"/>
    <w:rsid w:val="57DC6FDD"/>
    <w:rsid w:val="57FB5F50"/>
    <w:rsid w:val="57FE1547"/>
    <w:rsid w:val="58067D1A"/>
    <w:rsid w:val="586919C2"/>
    <w:rsid w:val="58984B29"/>
    <w:rsid w:val="589E7340"/>
    <w:rsid w:val="58A57278"/>
    <w:rsid w:val="58B03A4A"/>
    <w:rsid w:val="590D5DDF"/>
    <w:rsid w:val="592B53B8"/>
    <w:rsid w:val="596D2668"/>
    <w:rsid w:val="596F34AA"/>
    <w:rsid w:val="59974D7F"/>
    <w:rsid w:val="59C407FC"/>
    <w:rsid w:val="59C754AB"/>
    <w:rsid w:val="59E079AB"/>
    <w:rsid w:val="5A375749"/>
    <w:rsid w:val="5A415385"/>
    <w:rsid w:val="5A5A162D"/>
    <w:rsid w:val="5A6511C0"/>
    <w:rsid w:val="5A726BA0"/>
    <w:rsid w:val="5AB04EA5"/>
    <w:rsid w:val="5AB82FDD"/>
    <w:rsid w:val="5AD3204F"/>
    <w:rsid w:val="5AE94788"/>
    <w:rsid w:val="5B071BBA"/>
    <w:rsid w:val="5B3C55BF"/>
    <w:rsid w:val="5B51558F"/>
    <w:rsid w:val="5B63756F"/>
    <w:rsid w:val="5B725B6B"/>
    <w:rsid w:val="5B885A00"/>
    <w:rsid w:val="5BBE026D"/>
    <w:rsid w:val="5BD439A7"/>
    <w:rsid w:val="5BDF3319"/>
    <w:rsid w:val="5BE14EE6"/>
    <w:rsid w:val="5BE85E34"/>
    <w:rsid w:val="5C7979D9"/>
    <w:rsid w:val="5C991133"/>
    <w:rsid w:val="5C995E25"/>
    <w:rsid w:val="5CA67DE0"/>
    <w:rsid w:val="5D164C61"/>
    <w:rsid w:val="5D471B74"/>
    <w:rsid w:val="5D5144C0"/>
    <w:rsid w:val="5D872BD6"/>
    <w:rsid w:val="5D8D143F"/>
    <w:rsid w:val="5DE263A3"/>
    <w:rsid w:val="5DF13FC8"/>
    <w:rsid w:val="5DFB2BCA"/>
    <w:rsid w:val="5E147908"/>
    <w:rsid w:val="5E2A7858"/>
    <w:rsid w:val="5E511874"/>
    <w:rsid w:val="5E590E05"/>
    <w:rsid w:val="5E790BE8"/>
    <w:rsid w:val="5E973039"/>
    <w:rsid w:val="5EA87B0A"/>
    <w:rsid w:val="5EB119EE"/>
    <w:rsid w:val="5EB467AE"/>
    <w:rsid w:val="5EEF7AA9"/>
    <w:rsid w:val="5F2220CF"/>
    <w:rsid w:val="5F3E2940"/>
    <w:rsid w:val="5F4945D9"/>
    <w:rsid w:val="5F4E4F30"/>
    <w:rsid w:val="5F582C43"/>
    <w:rsid w:val="5F825446"/>
    <w:rsid w:val="5F982B77"/>
    <w:rsid w:val="5FAE4FA2"/>
    <w:rsid w:val="5FBE69BB"/>
    <w:rsid w:val="5FCB4192"/>
    <w:rsid w:val="600E7577"/>
    <w:rsid w:val="601A7A49"/>
    <w:rsid w:val="602A401F"/>
    <w:rsid w:val="602F4794"/>
    <w:rsid w:val="607F4912"/>
    <w:rsid w:val="60881A7C"/>
    <w:rsid w:val="609751E5"/>
    <w:rsid w:val="60A617F0"/>
    <w:rsid w:val="60C10976"/>
    <w:rsid w:val="60E76523"/>
    <w:rsid w:val="61563C9D"/>
    <w:rsid w:val="61C16E82"/>
    <w:rsid w:val="61CB5141"/>
    <w:rsid w:val="61D81A5C"/>
    <w:rsid w:val="61ED67CB"/>
    <w:rsid w:val="61F57CE4"/>
    <w:rsid w:val="61FB7175"/>
    <w:rsid w:val="620D1678"/>
    <w:rsid w:val="624F1D5A"/>
    <w:rsid w:val="62B8321C"/>
    <w:rsid w:val="62CE4A2F"/>
    <w:rsid w:val="630962B4"/>
    <w:rsid w:val="63766DF5"/>
    <w:rsid w:val="63A35F0B"/>
    <w:rsid w:val="63BE6B4B"/>
    <w:rsid w:val="63D91547"/>
    <w:rsid w:val="63E41E32"/>
    <w:rsid w:val="63F6588B"/>
    <w:rsid w:val="6406254B"/>
    <w:rsid w:val="643636FB"/>
    <w:rsid w:val="64522BD2"/>
    <w:rsid w:val="646766DC"/>
    <w:rsid w:val="648A4A7E"/>
    <w:rsid w:val="64A35F70"/>
    <w:rsid w:val="64B43FCC"/>
    <w:rsid w:val="64E010F2"/>
    <w:rsid w:val="6503009D"/>
    <w:rsid w:val="6513309C"/>
    <w:rsid w:val="651E5E20"/>
    <w:rsid w:val="65535A1B"/>
    <w:rsid w:val="65654DFF"/>
    <w:rsid w:val="657E2D0B"/>
    <w:rsid w:val="657F68B0"/>
    <w:rsid w:val="65817DB1"/>
    <w:rsid w:val="65D84197"/>
    <w:rsid w:val="65F12F76"/>
    <w:rsid w:val="65FE510C"/>
    <w:rsid w:val="660E507B"/>
    <w:rsid w:val="66373410"/>
    <w:rsid w:val="663D2A37"/>
    <w:rsid w:val="66576902"/>
    <w:rsid w:val="66931674"/>
    <w:rsid w:val="669369C9"/>
    <w:rsid w:val="66943B2D"/>
    <w:rsid w:val="669D125A"/>
    <w:rsid w:val="66A9581B"/>
    <w:rsid w:val="66D82AA7"/>
    <w:rsid w:val="66E9436F"/>
    <w:rsid w:val="670859AA"/>
    <w:rsid w:val="67165E6D"/>
    <w:rsid w:val="675A1CF7"/>
    <w:rsid w:val="6761194F"/>
    <w:rsid w:val="67626BF9"/>
    <w:rsid w:val="677B09DF"/>
    <w:rsid w:val="677F7400"/>
    <w:rsid w:val="67A01566"/>
    <w:rsid w:val="67A63D55"/>
    <w:rsid w:val="67A84465"/>
    <w:rsid w:val="67AB3B49"/>
    <w:rsid w:val="67AC298E"/>
    <w:rsid w:val="67CF3424"/>
    <w:rsid w:val="67FA2480"/>
    <w:rsid w:val="67FE7A63"/>
    <w:rsid w:val="67FF610F"/>
    <w:rsid w:val="68157B1D"/>
    <w:rsid w:val="683220D0"/>
    <w:rsid w:val="68384317"/>
    <w:rsid w:val="68566A84"/>
    <w:rsid w:val="685F312A"/>
    <w:rsid w:val="68603781"/>
    <w:rsid w:val="68B00DC0"/>
    <w:rsid w:val="68C11A08"/>
    <w:rsid w:val="68CC70D7"/>
    <w:rsid w:val="69085BD7"/>
    <w:rsid w:val="69291ACC"/>
    <w:rsid w:val="693D6722"/>
    <w:rsid w:val="693F57CE"/>
    <w:rsid w:val="69433D4A"/>
    <w:rsid w:val="696B32FD"/>
    <w:rsid w:val="69797C2C"/>
    <w:rsid w:val="69AB78DD"/>
    <w:rsid w:val="69C56B8B"/>
    <w:rsid w:val="69D171A3"/>
    <w:rsid w:val="69D306AC"/>
    <w:rsid w:val="69D74CDC"/>
    <w:rsid w:val="6A206938"/>
    <w:rsid w:val="6A2F1F48"/>
    <w:rsid w:val="6A5A184F"/>
    <w:rsid w:val="6A6C5A40"/>
    <w:rsid w:val="6A7B1FB8"/>
    <w:rsid w:val="6A8D6FE2"/>
    <w:rsid w:val="6A9B47A1"/>
    <w:rsid w:val="6AFA1EBA"/>
    <w:rsid w:val="6AFD2718"/>
    <w:rsid w:val="6AFF14C0"/>
    <w:rsid w:val="6B081F48"/>
    <w:rsid w:val="6B0E13E7"/>
    <w:rsid w:val="6B1301B0"/>
    <w:rsid w:val="6B29781B"/>
    <w:rsid w:val="6B387634"/>
    <w:rsid w:val="6B5068BA"/>
    <w:rsid w:val="6B5D506C"/>
    <w:rsid w:val="6BAC6702"/>
    <w:rsid w:val="6BC65090"/>
    <w:rsid w:val="6BFF0085"/>
    <w:rsid w:val="6C093DE3"/>
    <w:rsid w:val="6C1A3448"/>
    <w:rsid w:val="6C2F5929"/>
    <w:rsid w:val="6C321BE0"/>
    <w:rsid w:val="6C45207A"/>
    <w:rsid w:val="6C5569A0"/>
    <w:rsid w:val="6C954AC2"/>
    <w:rsid w:val="6CBE6C13"/>
    <w:rsid w:val="6D17028B"/>
    <w:rsid w:val="6D2552D8"/>
    <w:rsid w:val="6D302D5D"/>
    <w:rsid w:val="6D3643B1"/>
    <w:rsid w:val="6D3C235D"/>
    <w:rsid w:val="6D4D5A6D"/>
    <w:rsid w:val="6D935AB0"/>
    <w:rsid w:val="6DA62403"/>
    <w:rsid w:val="6DAB624E"/>
    <w:rsid w:val="6DCC6AB0"/>
    <w:rsid w:val="6DEF387C"/>
    <w:rsid w:val="6DF5498C"/>
    <w:rsid w:val="6E087119"/>
    <w:rsid w:val="6E0A3A07"/>
    <w:rsid w:val="6E372360"/>
    <w:rsid w:val="6E4F724A"/>
    <w:rsid w:val="6E60770D"/>
    <w:rsid w:val="6EA02805"/>
    <w:rsid w:val="6EB80F65"/>
    <w:rsid w:val="6F037853"/>
    <w:rsid w:val="6F0B0650"/>
    <w:rsid w:val="6F57168C"/>
    <w:rsid w:val="6F7B3028"/>
    <w:rsid w:val="6F844254"/>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127456D"/>
    <w:rsid w:val="712914EF"/>
    <w:rsid w:val="716329A8"/>
    <w:rsid w:val="716D1937"/>
    <w:rsid w:val="7174355C"/>
    <w:rsid w:val="717B4AB7"/>
    <w:rsid w:val="717C199B"/>
    <w:rsid w:val="71CC27D8"/>
    <w:rsid w:val="71EF2FA5"/>
    <w:rsid w:val="720E19E5"/>
    <w:rsid w:val="7210341D"/>
    <w:rsid w:val="723E6D09"/>
    <w:rsid w:val="724B6754"/>
    <w:rsid w:val="725F7758"/>
    <w:rsid w:val="7261110F"/>
    <w:rsid w:val="728202A5"/>
    <w:rsid w:val="72AA7A39"/>
    <w:rsid w:val="72C12A96"/>
    <w:rsid w:val="73454B63"/>
    <w:rsid w:val="73624F26"/>
    <w:rsid w:val="736C6888"/>
    <w:rsid w:val="73704456"/>
    <w:rsid w:val="737F4DAF"/>
    <w:rsid w:val="739A74E3"/>
    <w:rsid w:val="739B1EBD"/>
    <w:rsid w:val="73A6141B"/>
    <w:rsid w:val="73AF18CB"/>
    <w:rsid w:val="73B9425D"/>
    <w:rsid w:val="73BE791B"/>
    <w:rsid w:val="73DD4AD6"/>
    <w:rsid w:val="73EB64E4"/>
    <w:rsid w:val="73ED4A58"/>
    <w:rsid w:val="73F12374"/>
    <w:rsid w:val="740422B3"/>
    <w:rsid w:val="74796ABE"/>
    <w:rsid w:val="74A87093"/>
    <w:rsid w:val="74C80433"/>
    <w:rsid w:val="74E229B4"/>
    <w:rsid w:val="74E9694C"/>
    <w:rsid w:val="74EC26A7"/>
    <w:rsid w:val="75034CF7"/>
    <w:rsid w:val="751412D4"/>
    <w:rsid w:val="754915E5"/>
    <w:rsid w:val="759318B9"/>
    <w:rsid w:val="75DF32A0"/>
    <w:rsid w:val="75ED010F"/>
    <w:rsid w:val="760A43BF"/>
    <w:rsid w:val="761321E0"/>
    <w:rsid w:val="761450E8"/>
    <w:rsid w:val="76264322"/>
    <w:rsid w:val="76284836"/>
    <w:rsid w:val="765D589D"/>
    <w:rsid w:val="76732694"/>
    <w:rsid w:val="76A133C0"/>
    <w:rsid w:val="76D36025"/>
    <w:rsid w:val="77250572"/>
    <w:rsid w:val="772F2936"/>
    <w:rsid w:val="773F3622"/>
    <w:rsid w:val="776B6DA8"/>
    <w:rsid w:val="77913726"/>
    <w:rsid w:val="779D5554"/>
    <w:rsid w:val="77A44A41"/>
    <w:rsid w:val="77AF6C41"/>
    <w:rsid w:val="77B21E06"/>
    <w:rsid w:val="77DE796E"/>
    <w:rsid w:val="77E82DCC"/>
    <w:rsid w:val="78035215"/>
    <w:rsid w:val="780F0912"/>
    <w:rsid w:val="784D5933"/>
    <w:rsid w:val="784F6AB7"/>
    <w:rsid w:val="78823444"/>
    <w:rsid w:val="78BC11E4"/>
    <w:rsid w:val="78D61CB2"/>
    <w:rsid w:val="78D8249D"/>
    <w:rsid w:val="78E83B36"/>
    <w:rsid w:val="78F104FB"/>
    <w:rsid w:val="78FD61AA"/>
    <w:rsid w:val="79057963"/>
    <w:rsid w:val="79493EB1"/>
    <w:rsid w:val="79572CF4"/>
    <w:rsid w:val="797C66CF"/>
    <w:rsid w:val="79A21387"/>
    <w:rsid w:val="79BF3867"/>
    <w:rsid w:val="79F75F0D"/>
    <w:rsid w:val="7A0948B3"/>
    <w:rsid w:val="7A674481"/>
    <w:rsid w:val="7A6D5110"/>
    <w:rsid w:val="7A7550A6"/>
    <w:rsid w:val="7A9131A4"/>
    <w:rsid w:val="7AAF3771"/>
    <w:rsid w:val="7ADA2E94"/>
    <w:rsid w:val="7AE335B2"/>
    <w:rsid w:val="7AEC001A"/>
    <w:rsid w:val="7B475761"/>
    <w:rsid w:val="7B49298E"/>
    <w:rsid w:val="7B7B57F5"/>
    <w:rsid w:val="7B7D3C44"/>
    <w:rsid w:val="7BE208A5"/>
    <w:rsid w:val="7BE3068E"/>
    <w:rsid w:val="7C150EF5"/>
    <w:rsid w:val="7C186968"/>
    <w:rsid w:val="7C465BE7"/>
    <w:rsid w:val="7C4D4686"/>
    <w:rsid w:val="7C862768"/>
    <w:rsid w:val="7C9E2FDD"/>
    <w:rsid w:val="7CAF51D0"/>
    <w:rsid w:val="7CAF6655"/>
    <w:rsid w:val="7CDA0194"/>
    <w:rsid w:val="7D2A73BF"/>
    <w:rsid w:val="7D405935"/>
    <w:rsid w:val="7D5A0870"/>
    <w:rsid w:val="7D6E224F"/>
    <w:rsid w:val="7D87285F"/>
    <w:rsid w:val="7D9B3B81"/>
    <w:rsid w:val="7DA87B6D"/>
    <w:rsid w:val="7DA957CB"/>
    <w:rsid w:val="7DC82C31"/>
    <w:rsid w:val="7DF366F8"/>
    <w:rsid w:val="7E0F7674"/>
    <w:rsid w:val="7E1F6225"/>
    <w:rsid w:val="7E5940F2"/>
    <w:rsid w:val="7E5B35FF"/>
    <w:rsid w:val="7E6916D3"/>
    <w:rsid w:val="7EA33491"/>
    <w:rsid w:val="7EB269F8"/>
    <w:rsid w:val="7EB6487C"/>
    <w:rsid w:val="7EFE1A4D"/>
    <w:rsid w:val="7F06109B"/>
    <w:rsid w:val="7F2137F9"/>
    <w:rsid w:val="7F326B8C"/>
    <w:rsid w:val="7F4F38B1"/>
    <w:rsid w:val="7F504ACB"/>
    <w:rsid w:val="7F5F6399"/>
    <w:rsid w:val="7F874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2"/>
    <w:qFormat/>
    <w:uiPriority w:val="0"/>
    <w:pPr>
      <w:numPr>
        <w:ilvl w:val="2"/>
        <w:numId w:val="1"/>
      </w:numPr>
      <w:spacing w:before="260" w:after="260" w:line="416" w:lineRule="auto"/>
      <w:outlineLvl w:val="2"/>
    </w:pPr>
    <w:rPr>
      <w:sz w:val="24"/>
    </w:r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7"/>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Title"/>
    <w:basedOn w:val="1"/>
    <w:next w:val="1"/>
    <w:qFormat/>
    <w:uiPriority w:val="10"/>
    <w:pPr>
      <w:spacing w:before="240" w:after="60"/>
      <w:ind w:left="1701" w:hanging="1701"/>
      <w:outlineLvl w:val="0"/>
    </w:pPr>
    <w:rPr>
      <w:rFonts w:ascii="Arial" w:hAnsi="Arial" w:cs="Arial"/>
      <w:b/>
      <w:bCs/>
      <w:kern w:val="28"/>
    </w:rPr>
  </w:style>
  <w:style w:type="paragraph" w:styleId="56">
    <w:name w:val="annotation subject"/>
    <w:basedOn w:val="25"/>
    <w:next w:val="25"/>
    <w:link w:val="92"/>
    <w:semiHidden/>
    <w:qFormat/>
    <w:uiPriority w:val="0"/>
    <w:pPr>
      <w:widowControl/>
      <w:spacing w:before="40"/>
    </w:pPr>
    <w:rPr>
      <w:rFonts w:eastAsia="MS Mincho"/>
      <w:b/>
      <w:bCs/>
      <w:kern w:val="0"/>
      <w:sz w:val="20"/>
      <w:szCs w:val="20"/>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批注框文本 Char"/>
    <w:basedOn w:val="59"/>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9"/>
    <w:link w:val="24"/>
    <w:qFormat/>
    <w:uiPriority w:val="0"/>
    <w:rPr>
      <w:rFonts w:ascii="宋体"/>
      <w:kern w:val="2"/>
      <w:sz w:val="18"/>
      <w:szCs w:val="18"/>
    </w:rPr>
  </w:style>
  <w:style w:type="character" w:customStyle="1" w:styleId="70">
    <w:name w:val="标题 1 Char"/>
    <w:basedOn w:val="59"/>
    <w:link w:val="2"/>
    <w:qFormat/>
    <w:uiPriority w:val="0"/>
    <w:rPr>
      <w:b/>
      <w:bCs/>
      <w:kern w:val="44"/>
      <w:sz w:val="44"/>
      <w:szCs w:val="44"/>
    </w:rPr>
  </w:style>
  <w:style w:type="character" w:customStyle="1" w:styleId="71">
    <w:name w:val="标题 2 Char"/>
    <w:basedOn w:val="59"/>
    <w:link w:val="3"/>
    <w:qFormat/>
    <w:uiPriority w:val="0"/>
    <w:rPr>
      <w:rFonts w:ascii="Arial" w:hAnsi="Arial" w:eastAsia="MS Mincho"/>
      <w:sz w:val="28"/>
      <w:szCs w:val="32"/>
      <w:lang w:val="en-GB"/>
    </w:rPr>
  </w:style>
  <w:style w:type="character" w:customStyle="1" w:styleId="72">
    <w:name w:val="标题 3 Char"/>
    <w:basedOn w:val="59"/>
    <w:link w:val="4"/>
    <w:qFormat/>
    <w:uiPriority w:val="0"/>
    <w:rPr>
      <w:rFonts w:ascii="Arial" w:hAnsi="Arial" w:eastAsia="MS Mincho"/>
      <w:bCs/>
      <w:kern w:val="2"/>
      <w:sz w:val="24"/>
      <w:szCs w:val="32"/>
    </w:rPr>
  </w:style>
  <w:style w:type="character" w:customStyle="1" w:styleId="73">
    <w:name w:val="标题 4 Char"/>
    <w:basedOn w:val="59"/>
    <w:link w:val="5"/>
    <w:qFormat/>
    <w:uiPriority w:val="0"/>
    <w:rPr>
      <w:rFonts w:ascii="Arial" w:hAnsi="Arial" w:eastAsia="黑体"/>
      <w:b/>
      <w:kern w:val="2"/>
      <w:sz w:val="28"/>
      <w:szCs w:val="24"/>
    </w:rPr>
  </w:style>
  <w:style w:type="character" w:customStyle="1" w:styleId="74">
    <w:name w:val="标题 5 Char"/>
    <w:basedOn w:val="59"/>
    <w:link w:val="6"/>
    <w:qFormat/>
    <w:uiPriority w:val="0"/>
    <w:rPr>
      <w:b/>
      <w:kern w:val="2"/>
      <w:sz w:val="28"/>
      <w:szCs w:val="24"/>
    </w:rPr>
  </w:style>
  <w:style w:type="character" w:customStyle="1" w:styleId="75">
    <w:name w:val="标题 6 Char"/>
    <w:basedOn w:val="59"/>
    <w:link w:val="7"/>
    <w:qFormat/>
    <w:uiPriority w:val="0"/>
    <w:rPr>
      <w:rFonts w:ascii="Arial" w:hAnsi="Arial" w:eastAsia="黑体"/>
      <w:b/>
      <w:kern w:val="2"/>
      <w:sz w:val="24"/>
      <w:szCs w:val="24"/>
    </w:rPr>
  </w:style>
  <w:style w:type="character" w:customStyle="1" w:styleId="76">
    <w:name w:val="标题 7 Char"/>
    <w:basedOn w:val="59"/>
    <w:link w:val="8"/>
    <w:qFormat/>
    <w:uiPriority w:val="0"/>
    <w:rPr>
      <w:b/>
      <w:kern w:val="2"/>
      <w:sz w:val="24"/>
      <w:szCs w:val="24"/>
    </w:rPr>
  </w:style>
  <w:style w:type="character" w:customStyle="1" w:styleId="77">
    <w:name w:val="标题 8 Char"/>
    <w:basedOn w:val="59"/>
    <w:link w:val="9"/>
    <w:qFormat/>
    <w:uiPriority w:val="0"/>
    <w:rPr>
      <w:rFonts w:ascii="Arial" w:hAnsi="Arial" w:eastAsia="黑体"/>
      <w:kern w:val="2"/>
      <w:sz w:val="24"/>
      <w:szCs w:val="24"/>
    </w:rPr>
  </w:style>
  <w:style w:type="character" w:customStyle="1" w:styleId="78">
    <w:name w:val="标题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sz w:val="20"/>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sz w:val="20"/>
    </w:rPr>
  </w:style>
  <w:style w:type="paragraph" w:customStyle="1" w:styleId="87">
    <w:name w:val="Doc-title"/>
    <w:basedOn w:val="1"/>
    <w:next w:val="83"/>
    <w:link w:val="111"/>
    <w:qFormat/>
    <w:uiPriority w:val="0"/>
    <w:pPr>
      <w:widowControl/>
      <w:ind w:left="1260" w:hanging="1260"/>
      <w:jc w:val="left"/>
    </w:pPr>
    <w:rPr>
      <w:rFonts w:eastAsia="MS Mincho"/>
      <w:kern w:val="0"/>
      <w:sz w:val="20"/>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批注主题 Char"/>
    <w:basedOn w:val="93"/>
    <w:link w:val="56"/>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9"/>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sz w:val="20"/>
    </w:rPr>
  </w:style>
  <w:style w:type="character" w:customStyle="1" w:styleId="130">
    <w:name w:val="页眉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9"/>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59"/>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59"/>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8"/>
    <w:link w:val="284"/>
    <w:qFormat/>
    <w:uiPriority w:val="0"/>
    <w:pPr>
      <w:numPr>
        <w:ilvl w:val="0"/>
        <w:numId w:val="3"/>
      </w:numPr>
      <w:ind w:firstLine="0" w:firstLineChars="0"/>
    </w:pPr>
    <w:rPr>
      <w:rFonts w:cs="Arial"/>
      <w:color w:val="000000"/>
    </w:rPr>
  </w:style>
  <w:style w:type="paragraph" w:customStyle="1" w:styleId="283">
    <w:name w:val="3GPPObservation"/>
    <w:basedOn w:val="68"/>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619F3-18F6-434C-B161-FC47A6A8E56F}">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2496</Words>
  <Characters>14229</Characters>
  <Lines>1</Lines>
  <Paragraphs>1</Paragraphs>
  <TotalTime>37</TotalTime>
  <ScaleCrop>false</ScaleCrop>
  <LinksUpToDate>false</LinksUpToDate>
  <CharactersWithSpaces>16692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2022-08-09T07:09:00Z</dcterms:created>
  <dc:creator>10033860</dc:creator>
  <cp:lastModifiedBy>ZTE-Yu Pan</cp:lastModifiedBy>
  <cp:lastPrinted>2113-01-01T00:00:00Z</cp:lastPrinted>
  <dcterms:modified xsi:type="dcterms:W3CDTF">2023-04-07T08:48:20Z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DA6E594B4301456EB37B99092BC51663</vt:lpwstr>
  </property>
</Properties>
</file>